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045" w:rsidRDefault="00075045">
      <w:pPr>
        <w:jc w:val="both"/>
        <w:rPr>
          <w:rFonts w:ascii="Helvetica" w:hAnsi="Helvetica" w:cs="Helvetica"/>
          <w:b/>
        </w:rPr>
      </w:pPr>
      <w:r w:rsidRPr="00075045"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-720090</wp:posOffset>
            </wp:positionV>
            <wp:extent cx="6334125" cy="971550"/>
            <wp:effectExtent l="19050" t="0" r="9525" b="0"/>
            <wp:wrapTight wrapText="bothSides">
              <wp:wrapPolygon edited="0">
                <wp:start x="-65" y="0"/>
                <wp:lineTo x="-65" y="21176"/>
                <wp:lineTo x="21632" y="21176"/>
                <wp:lineTo x="21632" y="0"/>
                <wp:lineTo x="-65" y="0"/>
              </wp:wrapPolygon>
            </wp:wrapTight>
            <wp:docPr id="1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A31" w:rsidRPr="00075045" w:rsidRDefault="005833F0">
      <w:pPr>
        <w:jc w:val="both"/>
        <w:rPr>
          <w:rFonts w:asciiTheme="minorHAnsi" w:hAnsiTheme="minorHAnsi" w:cs="Helvetica"/>
        </w:rPr>
      </w:pPr>
      <w:r w:rsidRPr="00075045">
        <w:rPr>
          <w:rFonts w:asciiTheme="minorHAnsi" w:hAnsiTheme="minorHAnsi" w:cs="Helvetica"/>
          <w:b/>
        </w:rPr>
        <w:t>CÓRDOBA DESPLIEGA TODA SU ENERGÍA EN EXPOAGRO</w:t>
      </w:r>
    </w:p>
    <w:p w:rsidR="00A70A31" w:rsidRPr="00075045" w:rsidRDefault="00A70A31">
      <w:pPr>
        <w:jc w:val="both"/>
        <w:rPr>
          <w:rFonts w:asciiTheme="minorHAnsi" w:hAnsiTheme="minorHAnsi" w:cs="Helvetica"/>
        </w:rPr>
      </w:pPr>
    </w:p>
    <w:p w:rsidR="00A70A31" w:rsidRPr="00075045" w:rsidRDefault="00875FD7">
      <w:pPr>
        <w:jc w:val="both"/>
        <w:rPr>
          <w:rFonts w:asciiTheme="minorHAnsi" w:hAnsiTheme="minorHAnsi" w:cs="Helvetica"/>
        </w:rPr>
      </w:pPr>
      <w:r w:rsidRPr="00075045">
        <w:rPr>
          <w:rFonts w:asciiTheme="minorHAnsi" w:hAnsiTheme="minorHAnsi" w:cs="Helvetica"/>
        </w:rPr>
        <w:t xml:space="preserve">La provincia de Córdoba es protagonista activa de Expoagro 2016. Junto al Ministro de Agricultura y Ganadería, Sergio </w:t>
      </w:r>
      <w:proofErr w:type="spellStart"/>
      <w:r w:rsidRPr="00075045">
        <w:rPr>
          <w:rFonts w:asciiTheme="minorHAnsi" w:hAnsiTheme="minorHAnsi" w:cs="Helvetica"/>
        </w:rPr>
        <w:t>Busso</w:t>
      </w:r>
      <w:proofErr w:type="spellEnd"/>
      <w:r w:rsidRPr="00075045">
        <w:rPr>
          <w:rFonts w:asciiTheme="minorHAnsi" w:hAnsiTheme="minorHAnsi" w:cs="Helvetica"/>
        </w:rPr>
        <w:t>, llegaron funcionarios y técnicos que durante los cuatro días estarán asesorando a productores y visitantes sobre los planes y programas que ofrece la cartera.</w:t>
      </w:r>
    </w:p>
    <w:p w:rsidR="00A70A31" w:rsidRPr="00075045" w:rsidRDefault="00A70A31">
      <w:pPr>
        <w:jc w:val="both"/>
        <w:rPr>
          <w:rFonts w:asciiTheme="minorHAnsi" w:hAnsiTheme="minorHAnsi" w:cs="Helvetica"/>
        </w:rPr>
      </w:pPr>
    </w:p>
    <w:p w:rsidR="00A70A31" w:rsidRPr="00075045" w:rsidRDefault="00875FD7">
      <w:pPr>
        <w:jc w:val="both"/>
        <w:rPr>
          <w:rFonts w:asciiTheme="minorHAnsi" w:hAnsiTheme="minorHAnsi" w:cs="Helvetica"/>
        </w:rPr>
      </w:pPr>
      <w:r w:rsidRPr="00075045">
        <w:rPr>
          <w:rFonts w:asciiTheme="minorHAnsi" w:hAnsiTheme="minorHAnsi" w:cs="Helvetica"/>
        </w:rPr>
        <w:t xml:space="preserve">En el lote del Gobierno de Córdoba hay siete </w:t>
      </w:r>
      <w:proofErr w:type="spellStart"/>
      <w:r w:rsidRPr="00075045">
        <w:rPr>
          <w:rFonts w:asciiTheme="minorHAnsi" w:hAnsiTheme="minorHAnsi" w:cs="Helvetica"/>
        </w:rPr>
        <w:t>PyMes</w:t>
      </w:r>
      <w:proofErr w:type="spellEnd"/>
      <w:r w:rsidRPr="00075045">
        <w:rPr>
          <w:rFonts w:asciiTheme="minorHAnsi" w:hAnsiTheme="minorHAnsi" w:cs="Helvetica"/>
        </w:rPr>
        <w:t xml:space="preserve"> de distintas regiones, cinco de ellas dedicadas al rubro de la maquinaria agrícola y </w:t>
      </w:r>
      <w:proofErr w:type="spellStart"/>
      <w:r w:rsidRPr="00075045">
        <w:rPr>
          <w:rFonts w:asciiTheme="minorHAnsi" w:hAnsiTheme="minorHAnsi" w:cs="Helvetica"/>
        </w:rPr>
        <w:t>agropartes</w:t>
      </w:r>
      <w:proofErr w:type="spellEnd"/>
      <w:r w:rsidRPr="00075045">
        <w:rPr>
          <w:rFonts w:asciiTheme="minorHAnsi" w:hAnsiTheme="minorHAnsi" w:cs="Helvetica"/>
        </w:rPr>
        <w:t>, y dos firmas que presentan herramientas de inn</w:t>
      </w:r>
      <w:r w:rsidRPr="00075045">
        <w:rPr>
          <w:rFonts w:asciiTheme="minorHAnsi" w:hAnsiTheme="minorHAnsi" w:cs="Helvetica"/>
        </w:rPr>
        <w:t>o</w:t>
      </w:r>
      <w:r w:rsidRPr="00075045">
        <w:rPr>
          <w:rFonts w:asciiTheme="minorHAnsi" w:hAnsiTheme="minorHAnsi" w:cs="Helvetica"/>
        </w:rPr>
        <w:t xml:space="preserve">vación tecnológica para el campo. </w:t>
      </w:r>
    </w:p>
    <w:p w:rsidR="00A70A31" w:rsidRPr="00075045" w:rsidRDefault="00A70A31">
      <w:pPr>
        <w:jc w:val="both"/>
        <w:rPr>
          <w:rFonts w:asciiTheme="minorHAnsi" w:hAnsiTheme="minorHAnsi" w:cs="Helvetica"/>
        </w:rPr>
      </w:pPr>
    </w:p>
    <w:p w:rsidR="00A70A31" w:rsidRPr="00075045" w:rsidRDefault="00875FD7">
      <w:pPr>
        <w:jc w:val="both"/>
        <w:rPr>
          <w:rFonts w:asciiTheme="minorHAnsi" w:hAnsiTheme="minorHAnsi" w:cs="Helvetica"/>
        </w:rPr>
      </w:pPr>
      <w:r w:rsidRPr="00075045">
        <w:rPr>
          <w:rFonts w:asciiTheme="minorHAnsi" w:hAnsiTheme="minorHAnsi" w:cs="Helvetica"/>
        </w:rPr>
        <w:t>Además, la Agencia Pro Córdoba es una de las organizadoras de las Rondas de Negocios intern</w:t>
      </w:r>
      <w:r w:rsidRPr="00075045">
        <w:rPr>
          <w:rFonts w:asciiTheme="minorHAnsi" w:hAnsiTheme="minorHAnsi" w:cs="Helvetica"/>
        </w:rPr>
        <w:t>a</w:t>
      </w:r>
      <w:r w:rsidRPr="00075045">
        <w:rPr>
          <w:rFonts w:asciiTheme="minorHAnsi" w:hAnsiTheme="minorHAnsi" w:cs="Helvetica"/>
        </w:rPr>
        <w:t>cionales que mañana se ponen en marcha en Expoagro y, mientras tanto, difunde activamente los destinos turísticos de la provincia.</w:t>
      </w:r>
    </w:p>
    <w:p w:rsidR="00A70A31" w:rsidRPr="00075045" w:rsidRDefault="00A70A31">
      <w:pPr>
        <w:jc w:val="both"/>
        <w:rPr>
          <w:rFonts w:asciiTheme="minorHAnsi" w:hAnsiTheme="minorHAnsi" w:cs="Helvetica"/>
        </w:rPr>
      </w:pPr>
    </w:p>
    <w:p w:rsidR="00A70A31" w:rsidRPr="00075045" w:rsidRDefault="00875FD7">
      <w:pPr>
        <w:jc w:val="both"/>
        <w:rPr>
          <w:rFonts w:asciiTheme="minorHAnsi" w:hAnsiTheme="minorHAnsi" w:cs="Helvetica"/>
        </w:rPr>
      </w:pPr>
      <w:r w:rsidRPr="00075045">
        <w:rPr>
          <w:rFonts w:asciiTheme="minorHAnsi" w:hAnsiTheme="minorHAnsi" w:cs="Helvetica"/>
        </w:rPr>
        <w:t xml:space="preserve">El pabellón incluye un juego interactivo destinado a que las familias conozcan cuánto del campo hay en sus vidas cotidianas. “Es una forma de acercar al sector rural y urbano, un gran desafío que tenemos hacia delante”, dijeron desde el Ministerio. </w:t>
      </w:r>
    </w:p>
    <w:p w:rsidR="00A70A31" w:rsidRPr="00075045" w:rsidRDefault="00A70A31">
      <w:pPr>
        <w:jc w:val="both"/>
        <w:rPr>
          <w:rFonts w:asciiTheme="minorHAnsi" w:hAnsiTheme="minorHAnsi" w:cs="Helvetica"/>
        </w:rPr>
      </w:pPr>
    </w:p>
    <w:p w:rsidR="00A70A31" w:rsidRDefault="00875FD7" w:rsidP="00075045">
      <w:pPr>
        <w:jc w:val="both"/>
        <w:rPr>
          <w:rFonts w:asciiTheme="minorHAnsi" w:hAnsiTheme="minorHAnsi"/>
        </w:rPr>
      </w:pPr>
      <w:r w:rsidRPr="00075045">
        <w:rPr>
          <w:rFonts w:asciiTheme="minorHAnsi" w:hAnsiTheme="minorHAnsi" w:cs="Helvetica"/>
        </w:rPr>
        <w:t xml:space="preserve">Durante la cena de expositores realizada anoche, </w:t>
      </w:r>
      <w:proofErr w:type="spellStart"/>
      <w:r w:rsidRPr="00075045">
        <w:rPr>
          <w:rFonts w:asciiTheme="minorHAnsi" w:hAnsiTheme="minorHAnsi" w:cs="Helvetica"/>
        </w:rPr>
        <w:t>Busso</w:t>
      </w:r>
      <w:proofErr w:type="spellEnd"/>
      <w:r w:rsidRPr="00075045">
        <w:rPr>
          <w:rFonts w:asciiTheme="minorHAnsi" w:hAnsiTheme="minorHAnsi" w:cs="Helvetica"/>
        </w:rPr>
        <w:t xml:space="preserve"> vaticinó tiempos esperanzadores para el sector agroindustrial. “Los escenarios han cambiado para el crecimiento y desarrollo de la produ</w:t>
      </w:r>
      <w:r w:rsidRPr="00075045">
        <w:rPr>
          <w:rFonts w:asciiTheme="minorHAnsi" w:hAnsiTheme="minorHAnsi" w:cs="Helvetica"/>
        </w:rPr>
        <w:t>c</w:t>
      </w:r>
      <w:r w:rsidRPr="00075045">
        <w:rPr>
          <w:rFonts w:asciiTheme="minorHAnsi" w:hAnsiTheme="minorHAnsi" w:cs="Helvetica"/>
        </w:rPr>
        <w:t xml:space="preserve">ción agropecuaria de Córdoba, se vislumbra una perspectiva muy buena. Si bien hemos tenido un </w:t>
      </w:r>
      <w:proofErr w:type="gramStart"/>
      <w:r w:rsidRPr="00075045">
        <w:rPr>
          <w:rFonts w:asciiTheme="minorHAnsi" w:hAnsiTheme="minorHAnsi" w:cs="Helvetica"/>
        </w:rPr>
        <w:t>comienzo</w:t>
      </w:r>
      <w:proofErr w:type="gramEnd"/>
      <w:r w:rsidRPr="00075045">
        <w:rPr>
          <w:rFonts w:asciiTheme="minorHAnsi" w:hAnsiTheme="minorHAnsi" w:cs="Helvetica"/>
        </w:rPr>
        <w:t xml:space="preserve"> de año complicado con graves fenómenos climáticos que se abatieron con mucha vir</w:t>
      </w:r>
      <w:r w:rsidRPr="00075045">
        <w:rPr>
          <w:rFonts w:asciiTheme="minorHAnsi" w:hAnsiTheme="minorHAnsi" w:cs="Helvetica"/>
        </w:rPr>
        <w:t>u</w:t>
      </w:r>
      <w:r w:rsidRPr="00075045">
        <w:rPr>
          <w:rFonts w:asciiTheme="minorHAnsi" w:hAnsiTheme="minorHAnsi" w:cs="Helvetica"/>
        </w:rPr>
        <w:t>lencia sobre nuestra provincia, me permito ser optimista y decir que el sector, con la ayuda del Gobierno Provincial y Nacional, saldrá adelante y alcanzaremos cifras similares a las campañas a</w:t>
      </w:r>
      <w:r w:rsidRPr="00075045">
        <w:rPr>
          <w:rFonts w:asciiTheme="minorHAnsi" w:hAnsiTheme="minorHAnsi" w:cs="Helvetica"/>
        </w:rPr>
        <w:t>n</w:t>
      </w:r>
      <w:r w:rsidRPr="00075045">
        <w:rPr>
          <w:rFonts w:asciiTheme="minorHAnsi" w:hAnsiTheme="minorHAnsi" w:cs="Helvetica"/>
        </w:rPr>
        <w:t>teriores. El sector más afectado por varios factores sin duda es el de la producción lechera, pero estoy seguro que encontraremos entre todos las mejores herramientas para acompañarlo”, analizó el ministro cordobés.</w:t>
      </w:r>
    </w:p>
    <w:p w:rsidR="00075045" w:rsidRDefault="00075045">
      <w:pPr>
        <w:rPr>
          <w:rFonts w:asciiTheme="minorHAnsi" w:hAnsiTheme="minorHAnsi"/>
        </w:rPr>
      </w:pPr>
    </w:p>
    <w:p w:rsidR="00075045" w:rsidRDefault="00075045">
      <w:pPr>
        <w:rPr>
          <w:rFonts w:asciiTheme="minorHAnsi" w:hAnsiTheme="minorHAnsi"/>
        </w:rPr>
      </w:pPr>
    </w:p>
    <w:p w:rsidR="00075045" w:rsidRPr="00075045" w:rsidRDefault="00075045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s-ES" w:eastAsia="es-ES"/>
        </w:rPr>
        <w:drawing>
          <wp:inline distT="0" distB="0" distL="0" distR="0">
            <wp:extent cx="5791200" cy="3293745"/>
            <wp:effectExtent l="19050" t="0" r="0" b="0"/>
            <wp:docPr id="2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045" w:rsidRPr="00075045" w:rsidSect="00A70A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orient="landscape"/>
      <w:pgMar w:top="1134" w:right="1134" w:bottom="1134" w:left="1134" w:header="709" w:footer="850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48D" w:rsidRDefault="005A448D">
      <w:r>
        <w:separator/>
      </w:r>
    </w:p>
  </w:endnote>
  <w:endnote w:type="continuationSeparator" w:id="0">
    <w:p w:rsidR="005A448D" w:rsidRDefault="005A4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A31" w:rsidRDefault="00A70A31">
    <w:pPr>
      <w:pStyle w:val="Cabeceraypie"/>
      <w:rPr>
        <w:rFonts w:ascii="Times New Roman" w:eastAsia="Times New Roman" w:hAnsi="Times New Roman" w:cs="Times New Roman"/>
        <w:color w:val="auto"/>
        <w:lang w:val="es-E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A31" w:rsidRDefault="00A70A31">
    <w:pPr>
      <w:pStyle w:val="Cabeceraypie"/>
      <w:rPr>
        <w:rFonts w:ascii="Times New Roman" w:eastAsia="Times New Roman" w:hAnsi="Times New Roman" w:cs="Times New Roman"/>
        <w:color w:val="auto"/>
        <w:lang w:val="es-E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A31" w:rsidRDefault="00A70A3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48D" w:rsidRDefault="005A448D">
      <w:r>
        <w:separator/>
      </w:r>
    </w:p>
  </w:footnote>
  <w:footnote w:type="continuationSeparator" w:id="0">
    <w:p w:rsidR="005A448D" w:rsidRDefault="005A44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A31" w:rsidRDefault="00A70A31">
    <w:pPr>
      <w:pStyle w:val="Cabeceraypie"/>
      <w:rPr>
        <w:rFonts w:ascii="Times New Roman" w:eastAsia="Times New Roman" w:hAnsi="Times New Roman" w:cs="Times New Roman"/>
        <w:color w:val="auto"/>
        <w:lang w:val="es-E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A31" w:rsidRDefault="00A70A31">
    <w:pPr>
      <w:pStyle w:val="Cabeceraypie"/>
      <w:rPr>
        <w:rFonts w:ascii="Times New Roman" w:eastAsia="Times New Roman" w:hAnsi="Times New Roman" w:cs="Times New Roman"/>
        <w:color w:val="auto"/>
        <w:lang w:val="es-E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A31" w:rsidRDefault="00A70A3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147" w:firstLine="0"/>
      </w:pPr>
      <w:rPr>
        <w:rFonts w:ascii="Times New Roman" w:hAnsi="Times New Roman" w:hint="default"/>
        <w:position w:val="0"/>
        <w:sz w:val="24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147"/>
        </w:tabs>
        <w:ind w:left="147" w:firstLine="720"/>
      </w:pPr>
      <w:rPr>
        <w:rFonts w:ascii="Times New Roman" w:hAnsi="Times New Roman" w:hint="default"/>
        <w:position w:val="0"/>
        <w:sz w:val="24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47"/>
        </w:tabs>
        <w:ind w:left="147" w:firstLine="1440"/>
      </w:pPr>
      <w:rPr>
        <w:rFonts w:ascii="Times New Roman" w:hAnsi="Times New Roman" w:hint="default"/>
        <w:position w:val="0"/>
        <w:sz w:val="24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147"/>
        </w:tabs>
        <w:ind w:left="147" w:firstLine="2160"/>
      </w:pPr>
      <w:rPr>
        <w:rFonts w:ascii="Times New Roman" w:hAnsi="Times New Roman" w:hint="default"/>
        <w:position w:val="0"/>
        <w:sz w:val="24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47"/>
        </w:tabs>
        <w:ind w:left="147" w:firstLine="2880"/>
      </w:pPr>
      <w:rPr>
        <w:rFonts w:ascii="Times New Roman" w:hAnsi="Times New Roman" w:hint="default"/>
        <w:position w:val="0"/>
        <w:sz w:val="24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7"/>
        </w:tabs>
        <w:ind w:left="147" w:firstLine="3600"/>
      </w:pPr>
      <w:rPr>
        <w:rFonts w:ascii="Times New Roman" w:hAnsi="Times New Roman" w:hint="default"/>
        <w:position w:val="0"/>
        <w:sz w:val="24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47"/>
        </w:tabs>
        <w:ind w:left="147" w:firstLine="4320"/>
      </w:pPr>
      <w:rPr>
        <w:rFonts w:ascii="Times New Roman" w:hAnsi="Times New Roman" w:hint="default"/>
        <w:position w:val="0"/>
        <w:sz w:val="24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47"/>
        </w:tabs>
        <w:ind w:left="147" w:firstLine="5040"/>
      </w:pPr>
      <w:rPr>
        <w:rFonts w:ascii="Times New Roman" w:hAnsi="Times New Roman" w:hint="default"/>
        <w:position w:val="0"/>
        <w:sz w:val="24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147"/>
        </w:tabs>
        <w:ind w:left="147" w:firstLine="5760"/>
      </w:pPr>
      <w:rPr>
        <w:rFonts w:ascii="Times New Roman" w:hAnsi="Times New Roman" w:hint="default"/>
        <w:position w:val="0"/>
        <w:sz w:val="24"/>
        <w:vertAlign w:val="baseline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140" w:firstLine="0"/>
      </w:pPr>
      <w:rPr>
        <w:rFonts w:ascii="Times New Roman" w:hAnsi="Times New Roman" w:hint="default"/>
        <w:position w:val="0"/>
        <w:sz w:val="24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140"/>
        </w:tabs>
        <w:ind w:left="140" w:firstLine="720"/>
      </w:pPr>
      <w:rPr>
        <w:rFonts w:ascii="Times New Roman" w:hAnsi="Times New Roman" w:hint="default"/>
        <w:position w:val="0"/>
        <w:sz w:val="24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40"/>
        </w:tabs>
        <w:ind w:left="140" w:firstLine="1440"/>
      </w:pPr>
      <w:rPr>
        <w:rFonts w:ascii="Times New Roman" w:hAnsi="Times New Roman" w:hint="default"/>
        <w:position w:val="0"/>
        <w:sz w:val="24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140"/>
        </w:tabs>
        <w:ind w:left="140" w:firstLine="2160"/>
      </w:pPr>
      <w:rPr>
        <w:rFonts w:ascii="Times New Roman" w:hAnsi="Times New Roman" w:hint="default"/>
        <w:position w:val="0"/>
        <w:sz w:val="24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40"/>
        </w:tabs>
        <w:ind w:left="140" w:firstLine="2880"/>
      </w:pPr>
      <w:rPr>
        <w:rFonts w:ascii="Times New Roman" w:hAnsi="Times New Roman" w:hint="default"/>
        <w:position w:val="0"/>
        <w:sz w:val="24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0"/>
        </w:tabs>
        <w:ind w:left="140" w:firstLine="3600"/>
      </w:pPr>
      <w:rPr>
        <w:rFonts w:ascii="Times New Roman" w:hAnsi="Times New Roman" w:hint="default"/>
        <w:position w:val="0"/>
        <w:sz w:val="24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40"/>
        </w:tabs>
        <w:ind w:left="140" w:firstLine="4320"/>
      </w:pPr>
      <w:rPr>
        <w:rFonts w:ascii="Times New Roman" w:hAnsi="Times New Roman" w:hint="default"/>
        <w:position w:val="0"/>
        <w:sz w:val="24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40"/>
        </w:tabs>
        <w:ind w:left="140" w:firstLine="5040"/>
      </w:pPr>
      <w:rPr>
        <w:rFonts w:ascii="Times New Roman" w:hAnsi="Times New Roman" w:hint="default"/>
        <w:position w:val="0"/>
        <w:sz w:val="24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140"/>
        </w:tabs>
        <w:ind w:left="140" w:firstLine="5760"/>
      </w:pPr>
      <w:rPr>
        <w:rFonts w:ascii="Times New Roman" w:hAnsi="Times New Roman" w:hint="default"/>
        <w:position w:val="0"/>
        <w:sz w:val="24"/>
        <w:vertAlign w:val="baseline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autoHyphenation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6E65A7"/>
    <w:rsid w:val="00075045"/>
    <w:rsid w:val="005833F0"/>
    <w:rsid w:val="005A448D"/>
    <w:rsid w:val="006E65A7"/>
    <w:rsid w:val="00875FD7"/>
    <w:rsid w:val="00A70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1"/>
    <w:rPr>
      <w:rFonts w:eastAsia="ヒラギノ角ゴ Pro W3"/>
      <w:color w:val="000000"/>
      <w:kern w:val="1"/>
      <w:sz w:val="24"/>
      <w:szCs w:val="24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A70A31"/>
    <w:rPr>
      <w:rFonts w:hint="default"/>
      <w:position w:val="0"/>
      <w:sz w:val="24"/>
      <w:vertAlign w:val="baseline"/>
    </w:rPr>
  </w:style>
  <w:style w:type="character" w:customStyle="1" w:styleId="WW8Num2z0">
    <w:name w:val="WW8Num2z0"/>
    <w:rsid w:val="00A70A31"/>
    <w:rPr>
      <w:rFonts w:hint="default"/>
      <w:position w:val="0"/>
      <w:sz w:val="24"/>
      <w:vertAlign w:val="baseline"/>
    </w:rPr>
  </w:style>
  <w:style w:type="character" w:customStyle="1" w:styleId="Fuentedeprrafopredeter1">
    <w:name w:val="Fuente de párrafo predeter.1"/>
    <w:rsid w:val="00A70A31"/>
  </w:style>
  <w:style w:type="paragraph" w:customStyle="1" w:styleId="Encabezado1">
    <w:name w:val="Encabezado1"/>
    <w:basedOn w:val="Normal"/>
    <w:next w:val="Textoindependiente"/>
    <w:rsid w:val="00A70A3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rsid w:val="00A70A31"/>
    <w:pPr>
      <w:spacing w:after="120"/>
    </w:pPr>
  </w:style>
  <w:style w:type="paragraph" w:styleId="Lista">
    <w:name w:val="List"/>
    <w:basedOn w:val="Textoindependiente"/>
    <w:rsid w:val="00A70A31"/>
    <w:rPr>
      <w:rFonts w:cs="Mangal"/>
    </w:rPr>
  </w:style>
  <w:style w:type="paragraph" w:customStyle="1" w:styleId="Etiqueta">
    <w:name w:val="Etiqueta"/>
    <w:basedOn w:val="Normal"/>
    <w:rsid w:val="00A70A31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A70A31"/>
    <w:pPr>
      <w:suppressLineNumbers/>
    </w:pPr>
    <w:rPr>
      <w:rFonts w:cs="Mangal"/>
    </w:rPr>
  </w:style>
  <w:style w:type="paragraph" w:customStyle="1" w:styleId="Cabeceraypie">
    <w:name w:val="Cabecera y pie"/>
    <w:rsid w:val="00A70A31"/>
    <w:rPr>
      <w:rFonts w:ascii="Helvetica" w:eastAsia="ヒラギノ角ゴ Pro W3" w:hAnsi="Helvetica" w:cs="Helvetica"/>
      <w:color w:val="000000"/>
      <w:kern w:val="1"/>
      <w:lang w:val="es-ES_tradnl" w:eastAsia="hi-IN" w:bidi="hi-IN"/>
    </w:rPr>
  </w:style>
  <w:style w:type="paragraph" w:customStyle="1" w:styleId="Formatolibre">
    <w:name w:val="Formato libre"/>
    <w:rsid w:val="00A70A31"/>
    <w:rPr>
      <w:rFonts w:ascii="Helvetica" w:eastAsia="ヒラギノ角ゴ Pro W3" w:hAnsi="Helvetica" w:cs="Helvetica"/>
      <w:color w:val="000000"/>
      <w:kern w:val="1"/>
      <w:sz w:val="24"/>
      <w:lang w:val="es-ES_tradnl" w:eastAsia="hi-IN" w:bidi="hi-IN"/>
    </w:rPr>
  </w:style>
  <w:style w:type="paragraph" w:styleId="Piedepgina">
    <w:name w:val="footer"/>
    <w:basedOn w:val="Normal"/>
    <w:rsid w:val="00A70A31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rsid w:val="00A70A31"/>
    <w:pPr>
      <w:suppressLineNumbers/>
      <w:tabs>
        <w:tab w:val="center" w:pos="4819"/>
        <w:tab w:val="right" w:pos="9638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50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045"/>
    <w:rPr>
      <w:rFonts w:ascii="Tahoma" w:eastAsia="ヒラギノ角ゴ Pro W3" w:hAnsi="Tahoma" w:cs="Tahoma"/>
      <w:color w:val="000000"/>
      <w:kern w:val="1"/>
      <w:sz w:val="16"/>
      <w:szCs w:val="16"/>
      <w:lang w:val="es-ES_tradn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A. Luzuriaga</dc:creator>
  <cp:lastModifiedBy>Julia A. Luzuriaga</cp:lastModifiedBy>
  <cp:revision>4</cp:revision>
  <cp:lastPrinted>2016-03-08T18:41:00Z</cp:lastPrinted>
  <dcterms:created xsi:type="dcterms:W3CDTF">2016-03-08T18:40:00Z</dcterms:created>
  <dcterms:modified xsi:type="dcterms:W3CDTF">2016-03-08T19:31:00Z</dcterms:modified>
</cp:coreProperties>
</file>