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97675" w14:textId="77777777" w:rsidR="005018D6" w:rsidRDefault="005018D6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17C26057" w14:textId="75D16717" w:rsidR="005018D6" w:rsidRPr="00A87265" w:rsidRDefault="00FC3689">
      <w:pPr>
        <w:jc w:val="center"/>
        <w:rPr>
          <w:rFonts w:ascii="Aptos" w:eastAsia="Aptos" w:hAnsi="Aptos" w:cs="Aptos"/>
          <w:b/>
          <w:bCs/>
          <w:sz w:val="28"/>
          <w:szCs w:val="28"/>
        </w:rPr>
      </w:pPr>
      <w:r w:rsidRPr="00A87265">
        <w:rPr>
          <w:rFonts w:ascii="Aptos" w:eastAsia="Aptos" w:hAnsi="Aptos" w:cs="Aptos"/>
          <w:b/>
          <w:bCs/>
          <w:sz w:val="28"/>
          <w:szCs w:val="28"/>
        </w:rPr>
        <w:t>Genética, protección y datos: Frente a sistemas más exigentes, BASF apuesta por integrar tecnologías</w:t>
      </w:r>
    </w:p>
    <w:p w14:paraId="16F6AA6C" w14:textId="77777777" w:rsidR="005018D6" w:rsidRDefault="005018D6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380F03E7" w14:textId="77777777" w:rsidR="005018D6" w:rsidRDefault="005018D6">
      <w:pPr>
        <w:rPr>
          <w:rFonts w:ascii="Aptos" w:eastAsia="Aptos" w:hAnsi="Aptos" w:cs="Aptos"/>
          <w:sz w:val="24"/>
          <w:szCs w:val="24"/>
        </w:rPr>
      </w:pPr>
    </w:p>
    <w:p w14:paraId="3315791B" w14:textId="1D920FAD" w:rsidR="005018D6" w:rsidRDefault="00FC3689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En el Congreso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2026, </w:t>
      </w:r>
      <w:r w:rsidR="00F33531">
        <w:rPr>
          <w:rFonts w:ascii="Aptos" w:eastAsia="Aptos" w:hAnsi="Aptos" w:cs="Aptos"/>
          <w:i/>
          <w:iCs/>
          <w:sz w:val="24"/>
          <w:szCs w:val="24"/>
        </w:rPr>
        <w:t>BASF m</w:t>
      </w:r>
      <w:r>
        <w:rPr>
          <w:rFonts w:ascii="Aptos" w:eastAsia="Aptos" w:hAnsi="Aptos" w:cs="Aptos"/>
          <w:i/>
          <w:iCs/>
          <w:sz w:val="24"/>
          <w:szCs w:val="24"/>
        </w:rPr>
        <w:t>ostrará cómo la combinación de genética, protección de cultivos y herramientas digitales permite enfrentar sistemas productivos cada vez más exigentes. Además, presentará nuevos desarrollos y compartirá una charla técnica sobre el uso estratégico de la tecnología.</w:t>
      </w:r>
    </w:p>
    <w:p w14:paraId="59D3BF86" w14:textId="77777777" w:rsidR="005018D6" w:rsidRDefault="005018D6">
      <w:pPr>
        <w:rPr>
          <w:rFonts w:ascii="Aptos" w:eastAsia="Aptos" w:hAnsi="Aptos" w:cs="Aptos"/>
          <w:sz w:val="24"/>
          <w:szCs w:val="24"/>
        </w:rPr>
      </w:pPr>
    </w:p>
    <w:p w14:paraId="2B6752CB" w14:textId="77777777" w:rsidR="005018D6" w:rsidRDefault="00FC36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Los sistemas agrícolas argentinos atraviesan una etapa de creciente complejidad. La intensificación de las rotaciones, la mayor presión de malezas resistentes, enfermedades y plagas, junto con la necesidad de producir de manera más eficiente, obligan a repensar las estrategias de manejo desde una mirada integral.</w:t>
      </w:r>
    </w:p>
    <w:p w14:paraId="35E00ACA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6F0AC770" w14:textId="77777777" w:rsidR="005018D6" w:rsidRDefault="00FC36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Bajo ese escenario, BASF participará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Aapresid 2026 con la fuerza de Expoagro </w:t>
      </w:r>
      <w:r>
        <w:rPr>
          <w:rFonts w:ascii="Aptos" w:eastAsia="Aptos" w:hAnsi="Aptos" w:cs="Aptos"/>
          <w:sz w:val="24"/>
          <w:szCs w:val="24"/>
        </w:rPr>
        <w:t>con una propuesta orientada a mostrar cómo la integración entre protección de cultivos, genética y herramientas digitales permite reducir la brecha entre el potencial productivo y los resultados obtenidos en el lote.</w:t>
      </w:r>
    </w:p>
    <w:p w14:paraId="0B920EA6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7D48ACA0" w14:textId="77777777" w:rsidR="005018D6" w:rsidRDefault="00FC3689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Tecnologías que se complementan</w:t>
      </w:r>
    </w:p>
    <w:p w14:paraId="68136A69" w14:textId="77777777" w:rsidR="005018D6" w:rsidRDefault="005018D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4BE63AC0" w14:textId="77777777" w:rsidR="005018D6" w:rsidRDefault="00FC36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“El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Congreso Aapresid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es un espacio clave para compartir conocimiento y acercar soluciones innovadoras a los productores, reafirmando el compromiso con sistemas productivos más eficientes y sustentables”</w:t>
      </w:r>
      <w:r>
        <w:rPr>
          <w:rFonts w:ascii="Aptos" w:eastAsia="Aptos" w:hAnsi="Aptos" w:cs="Aptos"/>
          <w:sz w:val="24"/>
          <w:szCs w:val="24"/>
        </w:rPr>
        <w:t xml:space="preserve">, expresaron desde la firma, que desembarcará </w:t>
      </w:r>
      <w:r>
        <w:rPr>
          <w:rFonts w:ascii="Aptos" w:eastAsia="Aptos" w:hAnsi="Aptos" w:cs="Aptos"/>
          <w:b/>
          <w:bCs/>
          <w:sz w:val="24"/>
          <w:szCs w:val="24"/>
        </w:rPr>
        <w:t>del 4 al 6 de agosto en el Salón Metropolitano de Rosario</w:t>
      </w:r>
      <w:r>
        <w:rPr>
          <w:rFonts w:ascii="Aptos" w:eastAsia="Aptos" w:hAnsi="Aptos" w:cs="Aptos"/>
          <w:sz w:val="24"/>
          <w:szCs w:val="24"/>
        </w:rPr>
        <w:t xml:space="preserve"> con un portfolio robusto de productos.</w:t>
      </w:r>
    </w:p>
    <w:p w14:paraId="5A68B436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7DD65AFF" w14:textId="77777777" w:rsidR="005018D6" w:rsidRDefault="00FC36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Para BASF, la clave está en “actuar antes, mejor y con mayor eficiencia”, y por ello uno de los ejes centrales de la propuesta será el </w:t>
      </w:r>
      <w:r>
        <w:rPr>
          <w:rFonts w:ascii="Aptos" w:eastAsia="Aptos" w:hAnsi="Aptos" w:cs="Aptos"/>
          <w:b/>
          <w:bCs/>
          <w:sz w:val="24"/>
          <w:szCs w:val="24"/>
        </w:rPr>
        <w:t>manejo temprano y eficiente de malezas, enfermedades y plagas</w:t>
      </w:r>
      <w:r>
        <w:rPr>
          <w:rFonts w:ascii="Aptos" w:eastAsia="Aptos" w:hAnsi="Aptos" w:cs="Aptos"/>
          <w:sz w:val="24"/>
          <w:szCs w:val="24"/>
        </w:rPr>
        <w:t>.</w:t>
      </w:r>
    </w:p>
    <w:p w14:paraId="236DF19C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4BDAA2A5" w14:textId="29E8D730" w:rsidR="005018D6" w:rsidRPr="008A39D2" w:rsidRDefault="00FC3689" w:rsidP="008A39D2">
      <w:pPr>
        <w:spacing w:line="240" w:lineRule="auto"/>
        <w:jc w:val="both"/>
        <w:rPr>
          <w:rFonts w:ascii="Aptos" w:eastAsia="Aptos" w:hAnsi="Aptos" w:cs="Aptos"/>
          <w:sz w:val="24"/>
          <w:szCs w:val="24"/>
        </w:rPr>
      </w:pPr>
      <w:r w:rsidRPr="008A39D2">
        <w:rPr>
          <w:rFonts w:asciiTheme="majorHAnsi" w:eastAsia="Aptos" w:hAnsiTheme="majorHAnsi" w:cstheme="majorHAnsi"/>
          <w:sz w:val="24"/>
          <w:szCs w:val="24"/>
        </w:rPr>
        <w:t xml:space="preserve">El gran protagonista es </w:t>
      </w:r>
      <w:proofErr w:type="spellStart"/>
      <w:r w:rsidR="008A39D2" w:rsidRPr="008A39D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shd w:val="clear" w:color="auto" w:fill="FFFFFF"/>
          <w:lang w:val="es-AR"/>
        </w:rPr>
        <w:t>Voraxor</w:t>
      </w:r>
      <w:proofErr w:type="spellEnd"/>
      <w:r w:rsidR="008A39D2" w:rsidRPr="008A39D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shd w:val="clear" w:color="auto" w:fill="FFFFFF"/>
          <w:lang w:val="es-AR"/>
        </w:rPr>
        <w:t>®,</w:t>
      </w:r>
      <w:r w:rsidRPr="008A39D2">
        <w:rPr>
          <w:rFonts w:asciiTheme="majorHAnsi" w:eastAsia="Aptos" w:hAnsiTheme="majorHAnsi" w:cstheme="majorHAnsi"/>
          <w:sz w:val="24"/>
          <w:szCs w:val="24"/>
        </w:rPr>
        <w:t xml:space="preserve"> un</w:t>
      </w:r>
      <w:r w:rsidRPr="008A39D2">
        <w:rPr>
          <w:rFonts w:ascii="Aptos" w:eastAsia="Aptos" w:hAnsi="Aptos" w:cs="Aptos"/>
          <w:sz w:val="24"/>
          <w:szCs w:val="24"/>
        </w:rPr>
        <w:t xml:space="preserve"> herbicida de amplio espectro para el control en barbechos, que ha superado </w:t>
      </w:r>
      <w:proofErr w:type="gramStart"/>
      <w:r w:rsidRPr="008A39D2">
        <w:rPr>
          <w:rFonts w:ascii="Aptos" w:eastAsia="Aptos" w:hAnsi="Aptos" w:cs="Aptos"/>
          <w:sz w:val="24"/>
          <w:szCs w:val="24"/>
        </w:rPr>
        <w:t xml:space="preserve">las </w:t>
      </w:r>
      <w:r w:rsidRPr="008A39D2">
        <w:rPr>
          <w:rFonts w:ascii="Aptos" w:eastAsia="Aptos" w:hAnsi="Aptos" w:cs="Aptos"/>
          <w:b/>
          <w:bCs/>
          <w:sz w:val="24"/>
          <w:szCs w:val="24"/>
        </w:rPr>
        <w:t>1,5 millones</w:t>
      </w:r>
      <w:proofErr w:type="gramEnd"/>
      <w:r w:rsidRPr="008A39D2">
        <w:rPr>
          <w:rFonts w:ascii="Aptos" w:eastAsia="Aptos" w:hAnsi="Aptos" w:cs="Aptos"/>
          <w:b/>
          <w:bCs/>
          <w:sz w:val="24"/>
          <w:szCs w:val="24"/>
        </w:rPr>
        <w:t xml:space="preserve"> de hectáreas aplicadas en las últimas campañas</w:t>
      </w:r>
      <w:r w:rsidRPr="008A39D2">
        <w:rPr>
          <w:rFonts w:ascii="Aptos" w:eastAsia="Aptos" w:hAnsi="Aptos" w:cs="Aptos"/>
          <w:sz w:val="24"/>
          <w:szCs w:val="24"/>
        </w:rPr>
        <w:t>. Su acción rápida y persistente contribuye a evitar nuevas emergencias de malezas, optimizando el uso de aplicaciones posteriores y reduciendo la presión sobre el sistema.</w:t>
      </w:r>
    </w:p>
    <w:p w14:paraId="1D9E7DE4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50985D14" w14:textId="418513C3" w:rsidR="00C541B6" w:rsidRDefault="00C541B6" w:rsidP="00C541B6">
      <w:pPr>
        <w:jc w:val="both"/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</w:pPr>
      <w:r w:rsidRPr="00C541B6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 xml:space="preserve">La propuesta se complementa con soluciones como </w:t>
      </w:r>
      <w:proofErr w:type="spellStart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>Melyra</w:t>
      </w:r>
      <w:proofErr w:type="spellEnd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>®</w:t>
      </w:r>
      <w:r w:rsidRPr="00C541B6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 xml:space="preserve"> un fungicida que protege el cultivo con eficiencia y contribuye a mantener su sanidad con menor impacto. Lo propio hace </w:t>
      </w:r>
      <w:proofErr w:type="spellStart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>Vulcarus</w:t>
      </w:r>
      <w:proofErr w:type="spellEnd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 xml:space="preserve">®, </w:t>
      </w:r>
      <w:r w:rsidRPr="00C541B6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 xml:space="preserve">un herbicida </w:t>
      </w:r>
      <w:proofErr w:type="spellStart"/>
      <w:r w:rsidRPr="00C541B6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>pre-emergente</w:t>
      </w:r>
      <w:proofErr w:type="spellEnd"/>
      <w:r w:rsidRPr="00C541B6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 xml:space="preserve"> diseñado específicamente para girasol, y </w:t>
      </w:r>
      <w:proofErr w:type="spellStart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>Hicoat</w:t>
      </w:r>
      <w:proofErr w:type="spellEnd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 xml:space="preserve">® </w:t>
      </w:r>
      <w:proofErr w:type="spellStart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>Dry</w:t>
      </w:r>
      <w:proofErr w:type="spellEnd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>,</w:t>
      </w:r>
      <w:r w:rsidRPr="00C541B6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 xml:space="preserve"> </w:t>
      </w:r>
      <w:r w:rsidRPr="00C541B6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lastRenderedPageBreak/>
        <w:t xml:space="preserve">un inoculante premium en formato sólido, de larga vida y alta concentración para el cultivo de soja. Además, La digitalización es otro pilar clave para avanzar hacia sistemas más sustentables. A través de </w:t>
      </w:r>
      <w:proofErr w:type="spellStart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>xarvio</w:t>
      </w:r>
      <w:proofErr w:type="spellEnd"/>
      <w:r w:rsidRPr="00AB619B">
        <w:rPr>
          <w:rFonts w:asciiTheme="majorHAnsi" w:eastAsia="Times New Roman" w:hAnsiTheme="majorHAnsi" w:cstheme="majorHAnsi"/>
          <w:b/>
          <w:bCs/>
          <w:sz w:val="24"/>
          <w:szCs w:val="24"/>
          <w:lang w:val="es-AR" w:eastAsia="en-US"/>
        </w:rPr>
        <w:t>® FIELD MANAGER</w:t>
      </w:r>
      <w:r w:rsidRPr="00C541B6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>, BASF ofrece herramientas que permiten optimizar el uso de insumos y mejorar la toma de decisiones.</w:t>
      </w:r>
    </w:p>
    <w:p w14:paraId="2953E9CC" w14:textId="77777777" w:rsidR="00AB619B" w:rsidRPr="00C541B6" w:rsidRDefault="00AB619B" w:rsidP="00C541B6">
      <w:pPr>
        <w:jc w:val="both"/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</w:pPr>
    </w:p>
    <w:p w14:paraId="7BA05565" w14:textId="0037AFBF" w:rsidR="005018D6" w:rsidRPr="00C541B6" w:rsidRDefault="00C541B6" w:rsidP="00C541B6">
      <w:pPr>
        <w:jc w:val="both"/>
        <w:rPr>
          <w:rFonts w:asciiTheme="majorHAnsi" w:eastAsia="Aptos" w:hAnsiTheme="majorHAnsi" w:cstheme="majorHAnsi"/>
          <w:sz w:val="24"/>
          <w:szCs w:val="24"/>
        </w:rPr>
      </w:pPr>
      <w:r w:rsidRPr="00C541B6">
        <w:rPr>
          <w:rFonts w:asciiTheme="majorHAnsi" w:hAnsiTheme="majorHAnsi" w:cstheme="majorHAnsi"/>
          <w:sz w:val="24"/>
          <w:szCs w:val="24"/>
          <w:lang w:val="es-AR" w:eastAsia="en-US"/>
        </w:rPr>
        <w:t>Con funcionalidades como el mapeo digital de malezas, la definición del momento óptimo de aplicación de fungicidas y la planificación de siembra y fertilización variable, la plataforma contribuye a reducir costos, minimizar aplicaciones innecesarias y disminuir el impacto ambiental, gestionando actualmente más de 4,5 millones de hectáreas.</w:t>
      </w:r>
    </w:p>
    <w:p w14:paraId="50F8FC1A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7AEC4763" w14:textId="77777777" w:rsidR="005018D6" w:rsidRDefault="00FC3689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Mejoramiento genético y agricultura digital</w:t>
      </w:r>
    </w:p>
    <w:p w14:paraId="4F0A453C" w14:textId="77777777" w:rsidR="008A39D2" w:rsidRDefault="008A39D2" w:rsidP="008A39D2">
      <w:pPr>
        <w:spacing w:line="240" w:lineRule="auto"/>
        <w:rPr>
          <w:rFonts w:ascii="Aptos" w:eastAsia="Aptos" w:hAnsi="Aptos" w:cs="Aptos"/>
          <w:sz w:val="24"/>
          <w:szCs w:val="24"/>
        </w:rPr>
      </w:pPr>
    </w:p>
    <w:p w14:paraId="040ACA14" w14:textId="580EEE08" w:rsidR="008A39D2" w:rsidRDefault="00FC3689" w:rsidP="008A39D2">
      <w:pPr>
        <w:rPr>
          <w:rFonts w:ascii="Roboto" w:eastAsia="Times New Roman" w:hAnsi="Roboto"/>
          <w:sz w:val="21"/>
          <w:szCs w:val="21"/>
          <w:shd w:val="clear" w:color="auto" w:fill="FFFFFF"/>
          <w:lang w:val="es-AR"/>
        </w:rPr>
      </w:pPr>
      <w:r w:rsidRPr="008A39D2">
        <w:rPr>
          <w:rFonts w:ascii="Aptos" w:eastAsia="Aptos" w:hAnsi="Aptos" w:cs="Aptos"/>
          <w:sz w:val="24"/>
          <w:szCs w:val="24"/>
        </w:rPr>
        <w:t xml:space="preserve">En el negocio de semillas, la compañía presentará nuevos híbridos de maíz con tecnologías de última generación. Entre ellos se destacan el lanzamiento de </w:t>
      </w:r>
      <w:r w:rsidRPr="008A39D2">
        <w:rPr>
          <w:rFonts w:ascii="Aptos" w:eastAsia="Aptos" w:hAnsi="Aptos" w:cs="Aptos"/>
          <w:b/>
          <w:bCs/>
          <w:sz w:val="24"/>
          <w:szCs w:val="24"/>
        </w:rPr>
        <w:t>BASF 5282 VIP3</w:t>
      </w:r>
      <w:r w:rsidRPr="008A39D2">
        <w:rPr>
          <w:rFonts w:ascii="Aptos" w:eastAsia="Aptos" w:hAnsi="Aptos" w:cs="Aptos"/>
          <w:sz w:val="24"/>
          <w:szCs w:val="24"/>
        </w:rPr>
        <w:t xml:space="preserve">, un material que, adelantaron, presenta “gran estabilidad y comportamiento sanitario”. Y, además, habrán avances en </w:t>
      </w:r>
      <w:r w:rsidRPr="008A39D2">
        <w:rPr>
          <w:rFonts w:ascii="Aptos" w:eastAsia="Aptos" w:hAnsi="Aptos" w:cs="Aptos"/>
          <w:b/>
          <w:bCs/>
          <w:sz w:val="24"/>
          <w:szCs w:val="24"/>
        </w:rPr>
        <w:t xml:space="preserve">girasol </w:t>
      </w:r>
      <w:r w:rsidRPr="008A39D2">
        <w:rPr>
          <w:rFonts w:ascii="Aptos" w:eastAsia="Aptos" w:hAnsi="Aptos" w:cs="Aptos"/>
          <w:sz w:val="24"/>
          <w:szCs w:val="24"/>
        </w:rPr>
        <w:t xml:space="preserve">con la marca </w:t>
      </w:r>
      <w:proofErr w:type="spellStart"/>
      <w:r w:rsidR="008A39D2" w:rsidRPr="008A39D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shd w:val="clear" w:color="auto" w:fill="FFFFFF"/>
          <w:lang w:val="es-AR"/>
        </w:rPr>
        <w:t>InSun</w:t>
      </w:r>
      <w:proofErr w:type="spellEnd"/>
      <w:proofErr w:type="gramStart"/>
      <w:r w:rsidR="008A39D2" w:rsidRPr="008A39D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shd w:val="clear" w:color="auto" w:fill="FFFFFF"/>
          <w:lang w:val="es-AR"/>
        </w:rPr>
        <w:t>®</w:t>
      </w:r>
      <w:r w:rsidR="008A39D2" w:rsidRPr="008A39D2">
        <w:rPr>
          <w:rFonts w:ascii="Roboto" w:eastAsia="Times New Roman" w:hAnsi="Roboto"/>
          <w:color w:val="000000"/>
          <w:sz w:val="21"/>
          <w:szCs w:val="21"/>
          <w:shd w:val="clear" w:color="auto" w:fill="FFFFFF"/>
          <w:lang w:val="es-AR"/>
        </w:rPr>
        <w:t xml:space="preserve"> </w:t>
      </w:r>
      <w:r w:rsidRPr="008A39D2">
        <w:rPr>
          <w:rFonts w:ascii="Aptos" w:eastAsia="Aptos" w:hAnsi="Aptos" w:cs="Aptos"/>
          <w:sz w:val="24"/>
          <w:szCs w:val="24"/>
        </w:rPr>
        <w:t xml:space="preserve"> y</w:t>
      </w:r>
      <w:proofErr w:type="gramEnd"/>
      <w:r w:rsidRPr="008A39D2">
        <w:rPr>
          <w:rFonts w:ascii="Aptos" w:eastAsia="Aptos" w:hAnsi="Aptos" w:cs="Aptos"/>
          <w:sz w:val="24"/>
          <w:szCs w:val="24"/>
        </w:rPr>
        <w:t xml:space="preserve"> en </w:t>
      </w:r>
      <w:r w:rsidRPr="008A39D2">
        <w:rPr>
          <w:rFonts w:ascii="Aptos" w:eastAsia="Aptos" w:hAnsi="Aptos" w:cs="Aptos"/>
          <w:b/>
          <w:bCs/>
          <w:sz w:val="24"/>
          <w:szCs w:val="24"/>
        </w:rPr>
        <w:t xml:space="preserve">soja </w:t>
      </w:r>
      <w:r w:rsidRPr="008A39D2">
        <w:rPr>
          <w:rFonts w:ascii="Aptos" w:eastAsia="Aptos" w:hAnsi="Aptos" w:cs="Aptos"/>
          <w:sz w:val="24"/>
          <w:szCs w:val="24"/>
        </w:rPr>
        <w:t xml:space="preserve">con el </w:t>
      </w:r>
      <w:r w:rsidRPr="008A39D2">
        <w:rPr>
          <w:rFonts w:ascii="Aptos" w:eastAsia="Aptos" w:hAnsi="Aptos" w:cs="Aptos"/>
          <w:b/>
          <w:bCs/>
          <w:sz w:val="24"/>
          <w:szCs w:val="24"/>
        </w:rPr>
        <w:t xml:space="preserve">portfolio </w:t>
      </w:r>
      <w:proofErr w:type="spellStart"/>
      <w:r w:rsidR="008A39D2" w:rsidRPr="008A39D2">
        <w:rPr>
          <w:rFonts w:ascii="Roboto" w:eastAsia="Times New Roman" w:hAnsi="Roboto"/>
          <w:b/>
          <w:bCs/>
          <w:color w:val="000000"/>
          <w:sz w:val="21"/>
          <w:szCs w:val="21"/>
          <w:shd w:val="clear" w:color="auto" w:fill="FFFFFF"/>
          <w:lang w:val="es-AR"/>
        </w:rPr>
        <w:t>Credenz</w:t>
      </w:r>
      <w:proofErr w:type="spellEnd"/>
      <w:r w:rsidR="008A39D2" w:rsidRPr="008A39D2">
        <w:rPr>
          <w:rFonts w:ascii="Roboto" w:eastAsia="Times New Roman" w:hAnsi="Roboto"/>
          <w:b/>
          <w:bCs/>
          <w:color w:val="000000"/>
          <w:sz w:val="21"/>
          <w:szCs w:val="21"/>
          <w:shd w:val="clear" w:color="auto" w:fill="FFFFFF"/>
          <w:lang w:val="es-AR"/>
        </w:rPr>
        <w:t>®</w:t>
      </w:r>
      <w:r w:rsidR="008A39D2">
        <w:rPr>
          <w:rFonts w:ascii="Roboto" w:eastAsia="Times New Roman" w:hAnsi="Roboto"/>
          <w:b/>
          <w:bCs/>
          <w:color w:val="000000"/>
          <w:sz w:val="21"/>
          <w:szCs w:val="21"/>
          <w:shd w:val="clear" w:color="auto" w:fill="FFFFFF"/>
          <w:lang w:val="es-AR"/>
        </w:rPr>
        <w:t>.</w:t>
      </w:r>
    </w:p>
    <w:p w14:paraId="557B87EA" w14:textId="2CF724B4" w:rsidR="005018D6" w:rsidRPr="008A39D2" w:rsidRDefault="005018D6" w:rsidP="008A39D2">
      <w:pPr>
        <w:spacing w:line="240" w:lineRule="auto"/>
        <w:ind w:left="720"/>
        <w:jc w:val="both"/>
        <w:rPr>
          <w:rFonts w:ascii="Aptos" w:eastAsia="Aptos" w:hAnsi="Aptos" w:cs="Aptos"/>
          <w:sz w:val="24"/>
          <w:szCs w:val="24"/>
        </w:rPr>
      </w:pPr>
    </w:p>
    <w:p w14:paraId="254C313A" w14:textId="77777777" w:rsidR="005018D6" w:rsidRDefault="00FC36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edición 2026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Aapresid </w:t>
      </w:r>
      <w:r>
        <w:rPr>
          <w:rFonts w:ascii="Aptos" w:eastAsia="Aptos" w:hAnsi="Aptos" w:cs="Aptos"/>
          <w:sz w:val="24"/>
          <w:szCs w:val="24"/>
        </w:rPr>
        <w:t xml:space="preserve">tiene como lema </w:t>
      </w:r>
      <w:r>
        <w:rPr>
          <w:rFonts w:ascii="Aptos" w:eastAsia="Aptos" w:hAnsi="Aptos" w:cs="Aptos"/>
          <w:b/>
          <w:bCs/>
          <w:sz w:val="24"/>
          <w:szCs w:val="24"/>
        </w:rPr>
        <w:t>“Nuestro Suelo, Nuestra Voz”</w:t>
      </w:r>
      <w:r>
        <w:rPr>
          <w:rFonts w:ascii="Aptos" w:eastAsia="Aptos" w:hAnsi="Aptos" w:cs="Aptos"/>
          <w:sz w:val="24"/>
          <w:szCs w:val="24"/>
        </w:rPr>
        <w:t xml:space="preserve">, una consigna que, para BASF, </w:t>
      </w:r>
      <w:r>
        <w:rPr>
          <w:rFonts w:ascii="Aptos" w:eastAsia="Aptos" w:hAnsi="Aptos" w:cs="Aptos"/>
          <w:i/>
          <w:iCs/>
          <w:sz w:val="24"/>
          <w:szCs w:val="24"/>
        </w:rPr>
        <w:t>“implica anticiparse, basar el manejo en información y trabajar con soluciones integradas que permitan producir de manera más eficiente y sustentable”</w:t>
      </w:r>
      <w:r>
        <w:rPr>
          <w:rFonts w:ascii="Aptos" w:eastAsia="Aptos" w:hAnsi="Aptos" w:cs="Aptos"/>
          <w:sz w:val="24"/>
          <w:szCs w:val="24"/>
        </w:rPr>
        <w:t xml:space="preserve">. </w:t>
      </w:r>
    </w:p>
    <w:p w14:paraId="77093909" w14:textId="77777777" w:rsidR="005018D6" w:rsidRPr="001154B4" w:rsidRDefault="00FC3689">
      <w:pPr>
        <w:jc w:val="both"/>
        <w:rPr>
          <w:rFonts w:asciiTheme="majorHAnsi" w:eastAsia="Aptos" w:hAnsiTheme="majorHAnsi" w:cstheme="majorHAnsi"/>
          <w:sz w:val="24"/>
          <w:szCs w:val="24"/>
        </w:rPr>
      </w:pPr>
      <w:r w:rsidRPr="001154B4">
        <w:rPr>
          <w:rFonts w:asciiTheme="majorHAnsi" w:eastAsia="Aptos" w:hAnsiTheme="majorHAnsi" w:cstheme="majorHAnsi"/>
          <w:sz w:val="24"/>
          <w:szCs w:val="24"/>
        </w:rPr>
        <w:t xml:space="preserve"> </w:t>
      </w:r>
    </w:p>
    <w:p w14:paraId="21C15D62" w14:textId="77777777" w:rsidR="008C3991" w:rsidRPr="008C3991" w:rsidRDefault="008C3991" w:rsidP="008C3991">
      <w:pPr>
        <w:jc w:val="both"/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</w:pPr>
      <w:r w:rsidRPr="008C3991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 xml:space="preserve">“El enfoque integral combina genética, protección de cultivos y digitalización. En ese sentido, uno de los pilares de su propuesta es también su plataforma digital </w:t>
      </w:r>
      <w:proofErr w:type="spellStart"/>
      <w:r w:rsidRPr="008C3991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>xarvio</w:t>
      </w:r>
      <w:proofErr w:type="spellEnd"/>
      <w:r w:rsidRPr="008C3991">
        <w:rPr>
          <w:rFonts w:asciiTheme="majorHAnsi" w:eastAsia="Times New Roman" w:hAnsiTheme="majorHAnsi" w:cstheme="majorHAnsi"/>
          <w:sz w:val="24"/>
          <w:szCs w:val="24"/>
          <w:lang w:val="es-AR" w:eastAsia="en-US"/>
        </w:rPr>
        <w:t xml:space="preserve">® que permite tomar estas decisiones agronómicas basadas en datos, optimizando el uso de insumos, mejorando la eficiencia productiva y reduciendo el impacto ambiental”. </w:t>
      </w:r>
    </w:p>
    <w:p w14:paraId="30E45864" w14:textId="77777777" w:rsidR="001154B4" w:rsidRPr="001154B4" w:rsidRDefault="001154B4">
      <w:pPr>
        <w:jc w:val="both"/>
        <w:rPr>
          <w:rFonts w:asciiTheme="majorHAnsi" w:eastAsia="Aptos" w:hAnsiTheme="majorHAnsi" w:cstheme="majorHAnsi"/>
          <w:sz w:val="24"/>
          <w:szCs w:val="24"/>
        </w:rPr>
      </w:pPr>
    </w:p>
    <w:p w14:paraId="0849A75B" w14:textId="77777777" w:rsidR="005018D6" w:rsidRDefault="00FC3689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¿Cuánto más se gana usando bien la tecnología?</w:t>
      </w:r>
    </w:p>
    <w:p w14:paraId="0CA60AAE" w14:textId="77777777" w:rsidR="005018D6" w:rsidRDefault="005018D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58F466AA" w14:textId="77777777" w:rsidR="005018D6" w:rsidRDefault="00FC3689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Además de presentar sus desarrollos,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BASF </w:t>
      </w:r>
      <w:r>
        <w:rPr>
          <w:rFonts w:ascii="Aptos" w:eastAsia="Aptos" w:hAnsi="Aptos" w:cs="Aptos"/>
          <w:sz w:val="24"/>
          <w:szCs w:val="24"/>
        </w:rPr>
        <w:t xml:space="preserve">formará parte de la agenda técnica del Congreso con una charla centrada en uno de los grandes desafíos de la agricultura actual: </w:t>
      </w:r>
      <w:r>
        <w:rPr>
          <w:rFonts w:ascii="Aptos" w:eastAsia="Aptos" w:hAnsi="Aptos" w:cs="Aptos"/>
          <w:b/>
          <w:bCs/>
          <w:sz w:val="24"/>
          <w:szCs w:val="24"/>
        </w:rPr>
        <w:t>cómo sostener la productividad en sistemas cada vez más exigentes.</w:t>
      </w:r>
    </w:p>
    <w:p w14:paraId="33135D1A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34C05190" w14:textId="19986875" w:rsidR="005018D6" w:rsidRDefault="00DD4AEB">
      <w:pPr>
        <w:jc w:val="both"/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es-ES"/>
        </w:rPr>
      </w:pPr>
      <w:r w:rsidRPr="00DD4AEB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es-ES"/>
        </w:rPr>
        <w:t>Bajo el título</w:t>
      </w:r>
      <w:r w:rsidRPr="00DD4AEB">
        <w:rPr>
          <w:rFonts w:asciiTheme="majorHAnsi" w:hAnsiTheme="majorHAnsi" w:cstheme="majorHAnsi"/>
          <w:b/>
          <w:bCs/>
          <w:color w:val="000000"/>
          <w:sz w:val="24"/>
          <w:szCs w:val="24"/>
          <w:shd w:val="clear" w:color="auto" w:fill="FFFFFF"/>
          <w:lang w:val="es-ES"/>
        </w:rPr>
        <w:t xml:space="preserve"> “Sistemas productivos exigentes, ¿Cuánto más ganas por usar bien la tecnología?”</w:t>
      </w:r>
      <w:r w:rsidRPr="00DD4AEB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es-ES"/>
        </w:rPr>
        <w:t>, el panel será el</w:t>
      </w:r>
      <w:r w:rsidRPr="00DD4AEB">
        <w:rPr>
          <w:rFonts w:asciiTheme="majorHAnsi" w:hAnsiTheme="majorHAnsi" w:cstheme="majorHAnsi"/>
          <w:b/>
          <w:bCs/>
          <w:color w:val="000000"/>
          <w:sz w:val="24"/>
          <w:szCs w:val="24"/>
          <w:shd w:val="clear" w:color="auto" w:fill="FFFFFF"/>
          <w:lang w:val="es-ES"/>
        </w:rPr>
        <w:t xml:space="preserve"> jueves 6 de agosto</w:t>
      </w:r>
      <w:r w:rsidRPr="00DD4AEB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es-ES"/>
        </w:rPr>
        <w:t xml:space="preserve">, de 11:15 a 12 hs. en el </w:t>
      </w:r>
      <w:r w:rsidRPr="00DD4AEB">
        <w:rPr>
          <w:rFonts w:asciiTheme="majorHAnsi" w:hAnsiTheme="majorHAnsi" w:cstheme="majorHAnsi"/>
          <w:b/>
          <w:bCs/>
          <w:color w:val="000000"/>
          <w:sz w:val="24"/>
          <w:szCs w:val="24"/>
          <w:shd w:val="clear" w:color="auto" w:fill="FFFFFF"/>
          <w:lang w:val="es-ES"/>
        </w:rPr>
        <w:t>Auditorio A</w:t>
      </w:r>
      <w:r w:rsidRPr="00DD4AEB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es-ES"/>
        </w:rPr>
        <w:t xml:space="preserve">. Participarán Juan Pérez Brea, gerente de cultivo de soja, Pablo </w:t>
      </w:r>
      <w:proofErr w:type="spellStart"/>
      <w:r w:rsidRPr="00DD4AEB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es-ES"/>
        </w:rPr>
        <w:t>Provera</w:t>
      </w:r>
      <w:proofErr w:type="spellEnd"/>
      <w:r w:rsidRPr="00DD4AEB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  <w:lang w:val="es-ES"/>
        </w:rPr>
        <w:t>, gerente de Soluciones Digitales y asesores técnicos.</w:t>
      </w:r>
    </w:p>
    <w:p w14:paraId="06EC179D" w14:textId="77777777" w:rsidR="00DD4AEB" w:rsidRPr="00DD4AEB" w:rsidRDefault="00DD4AEB">
      <w:pPr>
        <w:jc w:val="both"/>
        <w:rPr>
          <w:rFonts w:asciiTheme="majorHAnsi" w:eastAsia="Aptos" w:hAnsiTheme="majorHAnsi" w:cstheme="majorHAnsi"/>
          <w:b/>
          <w:bCs/>
          <w:sz w:val="24"/>
          <w:szCs w:val="24"/>
        </w:rPr>
      </w:pPr>
    </w:p>
    <w:p w14:paraId="5105DF6C" w14:textId="77777777" w:rsidR="005018D6" w:rsidRDefault="00FC36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Durante el encuentro, los especialistas abordarán los desafíos que enfrentan hoy los sistemas agrícolas argentinos, marcados por la intensificación productiva, el doble </w:t>
      </w:r>
      <w:r>
        <w:rPr>
          <w:rFonts w:ascii="Aptos" w:eastAsia="Aptos" w:hAnsi="Aptos" w:cs="Aptos"/>
          <w:sz w:val="24"/>
          <w:szCs w:val="24"/>
        </w:rPr>
        <w:lastRenderedPageBreak/>
        <w:t>cultivo anual, la mayor presión de cosecha y el avance de malezas resistentes y enfermedades.</w:t>
      </w:r>
    </w:p>
    <w:p w14:paraId="69591177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18FFFD44" w14:textId="77777777" w:rsidR="005018D6" w:rsidRDefault="00FC36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ese contexto, el eje de la discusión estará puesto en cómo </w:t>
      </w:r>
      <w:r>
        <w:rPr>
          <w:rFonts w:ascii="Aptos" w:eastAsia="Aptos" w:hAnsi="Aptos" w:cs="Aptos"/>
          <w:b/>
          <w:bCs/>
          <w:sz w:val="24"/>
          <w:szCs w:val="24"/>
        </w:rPr>
        <w:t>la integración entre insumos, genética y herramientas digitales puede traducirse en sistemas más rentables, eficientes y resilientes</w:t>
      </w:r>
      <w:r>
        <w:rPr>
          <w:rFonts w:ascii="Aptos" w:eastAsia="Aptos" w:hAnsi="Aptos" w:cs="Aptos"/>
          <w:sz w:val="24"/>
          <w:szCs w:val="24"/>
        </w:rPr>
        <w:t>. Frente a sistemas más demandantes, la tecnología ya no puede pensarse de manera aislada, sino como un conjunto de soluciones que trabajan de forma integrada.</w:t>
      </w:r>
    </w:p>
    <w:p w14:paraId="2FA3D6EC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3B78DE92" w14:textId="77777777" w:rsidR="005018D6" w:rsidRDefault="00FC3689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Un congreso estratégico</w:t>
      </w:r>
    </w:p>
    <w:p w14:paraId="26FF61C7" w14:textId="77777777" w:rsidR="005018D6" w:rsidRDefault="005018D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2E56E7DC" w14:textId="77777777" w:rsidR="005018D6" w:rsidRDefault="00FC36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Como en cada edición, 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 con la fuerza de Expoagro</w:t>
      </w:r>
      <w:r>
        <w:rPr>
          <w:rFonts w:ascii="Aptos" w:eastAsia="Aptos" w:hAnsi="Aptos" w:cs="Aptos"/>
          <w:sz w:val="24"/>
          <w:szCs w:val="24"/>
        </w:rPr>
        <w:t xml:space="preserve"> reúne a productores, asesores técnicos, especialistas y firmas del sector en un espacio donde convergen conocimiento, innovación e intercambio. </w:t>
      </w:r>
    </w:p>
    <w:p w14:paraId="5709B139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29E0AA6E" w14:textId="77777777" w:rsidR="005018D6" w:rsidRDefault="00FC36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“Acompañar una nueva edición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Congreso Aapresid es estratégico para BASF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. La participación activa en estos ámbitos permite compartir conocimiento, generar instancias de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co-creación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con el sector y continuar construyendo relaciones, consolidando a la innovación, la digitalización y la sustentabilidad como pilares del agro actual y futuro”</w:t>
      </w:r>
      <w:r>
        <w:rPr>
          <w:rFonts w:ascii="Aptos" w:eastAsia="Aptos" w:hAnsi="Aptos" w:cs="Aptos"/>
          <w:sz w:val="24"/>
          <w:szCs w:val="24"/>
        </w:rPr>
        <w:t>, expresaron desde la compañía.</w:t>
      </w:r>
    </w:p>
    <w:p w14:paraId="2AF705D2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p w14:paraId="61A7042E" w14:textId="77777777" w:rsidR="005018D6" w:rsidRDefault="005018D6">
      <w:pPr>
        <w:jc w:val="both"/>
        <w:rPr>
          <w:rFonts w:ascii="Aptos" w:eastAsia="Aptos" w:hAnsi="Aptos" w:cs="Aptos"/>
          <w:sz w:val="24"/>
          <w:szCs w:val="24"/>
        </w:rPr>
      </w:pPr>
    </w:p>
    <w:sectPr w:rsidR="005018D6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60BB3" w14:textId="77777777" w:rsidR="0062598C" w:rsidRDefault="0062598C">
      <w:pPr>
        <w:spacing w:line="240" w:lineRule="auto"/>
      </w:pPr>
      <w:r>
        <w:separator/>
      </w:r>
    </w:p>
  </w:endnote>
  <w:endnote w:type="continuationSeparator" w:id="0">
    <w:p w14:paraId="04A9A76A" w14:textId="77777777" w:rsidR="0062598C" w:rsidRDefault="006259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986788-1975-468A-8E07-57487F549B3E}"/>
    <w:embedBold r:id="rId2" w:fontKey="{A50BFDFC-6588-4903-89FB-B79C5F9766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A173CD-B8A0-489A-B404-C84CB42DA40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B7090C4-56BF-491B-90B6-0090E1ABFFCA}"/>
    <w:embedBold r:id="rId5" w:fontKey="{249AEC57-7249-4B4B-8793-A0AFD7021370}"/>
    <w:embedItalic r:id="rId6" w:fontKey="{588BCE65-99AA-41EE-B525-0F6FB2CAB125}"/>
    <w:embedBoldItalic r:id="rId7" w:fontKey="{F687BB18-15BA-4F96-867A-0E3A1DA7A43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05A8B3B6-E5D0-44B7-9DED-D5601F66EEE8}"/>
    <w:embedBold r:id="rId9" w:fontKey="{96C603BF-8E6B-4DC2-9818-736313EEC2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C4F4" w14:textId="77777777" w:rsidR="005018D6" w:rsidRDefault="005018D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58BC0" w14:textId="77777777" w:rsidR="0062598C" w:rsidRDefault="0062598C">
      <w:pPr>
        <w:spacing w:line="240" w:lineRule="auto"/>
      </w:pPr>
      <w:r>
        <w:separator/>
      </w:r>
    </w:p>
  </w:footnote>
  <w:footnote w:type="continuationSeparator" w:id="0">
    <w:p w14:paraId="71975658" w14:textId="77777777" w:rsidR="0062598C" w:rsidRDefault="006259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F7C25" w14:textId="77777777" w:rsidR="005018D6" w:rsidRDefault="00FC3689">
    <w:r>
      <w:rPr>
        <w:noProof/>
      </w:rPr>
      <w:drawing>
        <wp:anchor distT="0" distB="0" distL="0" distR="0" simplePos="0" relativeHeight="251658240" behindDoc="1" locked="0" layoutInCell="1" hidden="0" allowOverlap="1" wp14:anchorId="41A4F356" wp14:editId="701813E3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398D"/>
    <w:multiLevelType w:val="multilevel"/>
    <w:tmpl w:val="1826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04D3"/>
    <w:multiLevelType w:val="hybridMultilevel"/>
    <w:tmpl w:val="FD16FB28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8D6"/>
    <w:rsid w:val="000A28BE"/>
    <w:rsid w:val="001154B4"/>
    <w:rsid w:val="00184333"/>
    <w:rsid w:val="001C263B"/>
    <w:rsid w:val="005018D6"/>
    <w:rsid w:val="00580DBD"/>
    <w:rsid w:val="00584A5F"/>
    <w:rsid w:val="0062598C"/>
    <w:rsid w:val="008A39D2"/>
    <w:rsid w:val="008C3991"/>
    <w:rsid w:val="00A20081"/>
    <w:rsid w:val="00A44B93"/>
    <w:rsid w:val="00A87265"/>
    <w:rsid w:val="00AB619B"/>
    <w:rsid w:val="00B057D8"/>
    <w:rsid w:val="00C03143"/>
    <w:rsid w:val="00C541B6"/>
    <w:rsid w:val="00D8272F"/>
    <w:rsid w:val="00DD4AEB"/>
    <w:rsid w:val="00F0556D"/>
    <w:rsid w:val="00F33531"/>
    <w:rsid w:val="00FC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7895D"/>
  <w15:docId w15:val="{12773950-28B5-4802-BD74-2D4DB3C3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C541B6"/>
    <w:pPr>
      <w:spacing w:line="240" w:lineRule="auto"/>
      <w:ind w:left="720"/>
    </w:pPr>
    <w:rPr>
      <w:rFonts w:ascii="Calibri" w:eastAsiaTheme="minorHAns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F055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055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055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5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5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0lvNm37r+xIAsCmEyFObL99WzQ==">CgMxLjA4AHIhMUY2a0syQmtpZkRZUWVUVWRLR1B0dnhpUEh3akFVRW9o</go:docsCustomData>
</go:gDocsCustomXmlDataStorage>
</file>

<file path=customXml/itemProps1.xml><?xml version="1.0" encoding="utf-8"?>
<ds:datastoreItem xmlns:ds="http://schemas.openxmlformats.org/officeDocument/2006/customXml" ds:itemID="{495DFA25-BAB4-4BEA-A149-20E57FD186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4869</Characters>
  <Application>Microsoft Office Word</Application>
  <DocSecurity>0</DocSecurity>
  <Lines>40</Lines>
  <Paragraphs>11</Paragraphs>
  <ScaleCrop>false</ScaleCrop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2</cp:revision>
  <dcterms:created xsi:type="dcterms:W3CDTF">2026-07-14T12:27:00Z</dcterms:created>
  <dcterms:modified xsi:type="dcterms:W3CDTF">2026-07-14T12:27:00Z</dcterms:modified>
</cp:coreProperties>
</file>