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50566" w14:textId="77777777" w:rsidR="00856EDF" w:rsidRDefault="00856EDF">
      <w:pPr>
        <w:rPr>
          <w:rFonts w:ascii="Aptos" w:eastAsia="Aptos" w:hAnsi="Aptos" w:cs="Aptos"/>
          <w:sz w:val="24"/>
          <w:szCs w:val="24"/>
        </w:rPr>
      </w:pPr>
    </w:p>
    <w:p w14:paraId="255D2247" w14:textId="77777777" w:rsidR="00856EDF" w:rsidRDefault="004950F9">
      <w:pPr>
        <w:jc w:val="center"/>
        <w:rPr>
          <w:rFonts w:ascii="Aptos" w:eastAsia="Aptos" w:hAnsi="Aptos" w:cs="Aptos"/>
          <w:sz w:val="24"/>
          <w:szCs w:val="24"/>
        </w:rPr>
      </w:pPr>
      <w:r>
        <w:rPr>
          <w:rFonts w:ascii="Aptos" w:eastAsia="Aptos" w:hAnsi="Aptos" w:cs="Aptos"/>
          <w:b/>
          <w:bCs/>
          <w:sz w:val="24"/>
          <w:szCs w:val="24"/>
        </w:rPr>
        <w:t>Trigo 2026: cómo interpretar las heladas y por qué la tecnología será clave para proteger su potencial</w:t>
      </w:r>
    </w:p>
    <w:p w14:paraId="00F8B9F7" w14:textId="77777777" w:rsidR="00856EDF" w:rsidRDefault="00856EDF">
      <w:pPr>
        <w:rPr>
          <w:rFonts w:ascii="Aptos" w:eastAsia="Aptos" w:hAnsi="Aptos" w:cs="Aptos"/>
          <w:sz w:val="24"/>
          <w:szCs w:val="24"/>
        </w:rPr>
      </w:pPr>
    </w:p>
    <w:p w14:paraId="6102E6BC" w14:textId="77777777" w:rsidR="00856EDF" w:rsidRDefault="004950F9">
      <w:pPr>
        <w:jc w:val="center"/>
        <w:rPr>
          <w:rFonts w:ascii="Aptos" w:eastAsia="Aptos" w:hAnsi="Aptos" w:cs="Aptos"/>
          <w:i/>
          <w:iCs/>
          <w:sz w:val="24"/>
          <w:szCs w:val="24"/>
        </w:rPr>
      </w:pPr>
      <w:r>
        <w:rPr>
          <w:rFonts w:ascii="Aptos" w:eastAsia="Aptos" w:hAnsi="Aptos" w:cs="Aptos"/>
          <w:i/>
          <w:iCs/>
          <w:sz w:val="24"/>
          <w:szCs w:val="24"/>
        </w:rPr>
        <w:t xml:space="preserve">Desde </w:t>
      </w:r>
      <w:proofErr w:type="spellStart"/>
      <w:r>
        <w:rPr>
          <w:rFonts w:ascii="Aptos" w:eastAsia="Aptos" w:hAnsi="Aptos" w:cs="Aptos"/>
          <w:b/>
          <w:bCs/>
          <w:i/>
          <w:iCs/>
          <w:sz w:val="24"/>
          <w:szCs w:val="24"/>
        </w:rPr>
        <w:t>Neogen</w:t>
      </w:r>
      <w:proofErr w:type="spellEnd"/>
      <w:r>
        <w:rPr>
          <w:rFonts w:ascii="Aptos" w:eastAsia="Aptos" w:hAnsi="Aptos" w:cs="Aptos"/>
          <w:i/>
          <w:iCs/>
          <w:sz w:val="24"/>
          <w:szCs w:val="24"/>
        </w:rPr>
        <w:t xml:space="preserve">, marca de </w:t>
      </w:r>
      <w:r>
        <w:rPr>
          <w:rFonts w:ascii="Aptos" w:eastAsia="Aptos" w:hAnsi="Aptos" w:cs="Aptos"/>
          <w:b/>
          <w:bCs/>
          <w:i/>
          <w:iCs/>
          <w:sz w:val="24"/>
          <w:szCs w:val="24"/>
        </w:rPr>
        <w:t>GDM</w:t>
      </w:r>
      <w:r>
        <w:rPr>
          <w:rFonts w:ascii="Aptos" w:eastAsia="Aptos" w:hAnsi="Aptos" w:cs="Aptos"/>
          <w:i/>
          <w:iCs/>
          <w:sz w:val="24"/>
          <w:szCs w:val="24"/>
        </w:rPr>
        <w:t>, aportan evidencia sobre el impacto de las recientes heladas en el trigo, y explican por qué el daño visible no siempre se traduce en pérdidas de rendimiento. Además, ofrecen recomendaciones de manejo para una campaña que recién comienza.</w:t>
      </w:r>
    </w:p>
    <w:p w14:paraId="475AA85E" w14:textId="77777777" w:rsidR="00856EDF" w:rsidRDefault="00856EDF">
      <w:pPr>
        <w:rPr>
          <w:rFonts w:ascii="Aptos" w:eastAsia="Aptos" w:hAnsi="Aptos" w:cs="Aptos"/>
          <w:sz w:val="24"/>
          <w:szCs w:val="24"/>
        </w:rPr>
      </w:pPr>
    </w:p>
    <w:p w14:paraId="7BF9FCEE" w14:textId="77777777" w:rsidR="00856EDF" w:rsidRDefault="004950F9">
      <w:pPr>
        <w:jc w:val="both"/>
        <w:rPr>
          <w:rFonts w:ascii="Aptos" w:eastAsia="Aptos" w:hAnsi="Aptos" w:cs="Aptos"/>
          <w:sz w:val="24"/>
          <w:szCs w:val="24"/>
        </w:rPr>
      </w:pPr>
      <w:r>
        <w:rPr>
          <w:rFonts w:ascii="Aptos" w:eastAsia="Aptos" w:hAnsi="Aptos" w:cs="Aptos"/>
          <w:sz w:val="24"/>
          <w:szCs w:val="24"/>
        </w:rPr>
        <w:t>Las intensas heladas registradas durante los últimos días en distintas regiones agrícolas del país encendieron una señal de alerta entre los productores que ya tienen implantado el trigo. En numerosos lotes se observaron hojas con puntas secas, bandeado clorótico, necrosis y un aspecto general de tejido "quemado", síntomas que naturalmente generan preocupación sobre el posible impacto en el potencial productivo.</w:t>
      </w:r>
    </w:p>
    <w:p w14:paraId="40692E0C" w14:textId="77777777" w:rsidR="00856EDF" w:rsidRDefault="00856EDF">
      <w:pPr>
        <w:jc w:val="both"/>
        <w:rPr>
          <w:rFonts w:ascii="Aptos" w:eastAsia="Aptos" w:hAnsi="Aptos" w:cs="Aptos"/>
          <w:sz w:val="24"/>
          <w:szCs w:val="24"/>
        </w:rPr>
      </w:pPr>
    </w:p>
    <w:p w14:paraId="1E18584E" w14:textId="77777777" w:rsidR="00856EDF" w:rsidRDefault="004950F9">
      <w:pPr>
        <w:jc w:val="both"/>
        <w:rPr>
          <w:rFonts w:ascii="Aptos" w:eastAsia="Aptos" w:hAnsi="Aptos" w:cs="Aptos"/>
          <w:sz w:val="24"/>
          <w:szCs w:val="24"/>
        </w:rPr>
      </w:pPr>
      <w:r>
        <w:rPr>
          <w:rFonts w:ascii="Aptos" w:eastAsia="Aptos" w:hAnsi="Aptos" w:cs="Aptos"/>
          <w:sz w:val="24"/>
          <w:szCs w:val="24"/>
        </w:rPr>
        <w:t>No obstante, antes que un diagnóstico prematuro, desde</w:t>
      </w:r>
      <w:r>
        <w:rPr>
          <w:rFonts w:ascii="Aptos" w:eastAsia="Aptos" w:hAnsi="Aptos" w:cs="Aptos"/>
          <w:b/>
          <w:bCs/>
          <w:sz w:val="24"/>
          <w:szCs w:val="24"/>
        </w:rPr>
        <w:t xml:space="preserve"> </w:t>
      </w:r>
      <w:proofErr w:type="spellStart"/>
      <w:r>
        <w:rPr>
          <w:rFonts w:ascii="Aptos" w:eastAsia="Aptos" w:hAnsi="Aptos" w:cs="Aptos"/>
          <w:b/>
          <w:bCs/>
          <w:sz w:val="24"/>
          <w:szCs w:val="24"/>
        </w:rPr>
        <w:t>Neogen</w:t>
      </w:r>
      <w:proofErr w:type="spellEnd"/>
      <w:r>
        <w:rPr>
          <w:rFonts w:ascii="Aptos" w:eastAsia="Aptos" w:hAnsi="Aptos" w:cs="Aptos"/>
          <w:sz w:val="24"/>
          <w:szCs w:val="24"/>
        </w:rPr>
        <w:t xml:space="preserve"> -una de las marcas de trigo de la firma GDM- destacan la importancia de utilizar una mirada agronómica integral y evitar hacer evaluaciones únicamente a partir del aspecto visual del cultivo. </w:t>
      </w:r>
    </w:p>
    <w:p w14:paraId="270068ED" w14:textId="77777777" w:rsidR="00856EDF" w:rsidRDefault="00856EDF">
      <w:pPr>
        <w:jc w:val="both"/>
        <w:rPr>
          <w:rFonts w:ascii="Aptos" w:eastAsia="Aptos" w:hAnsi="Aptos" w:cs="Aptos"/>
          <w:sz w:val="24"/>
          <w:szCs w:val="24"/>
        </w:rPr>
      </w:pPr>
    </w:p>
    <w:p w14:paraId="55C6159A"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Son sus propias investigaciones las que así lo respaldan. De acuerdo con un informe elaborado por el equipo técnico de Desarrollo LAS de GDM, cuando las heladas ocurren durante los estadios vegetativos -desde emergencia hasta </w:t>
      </w:r>
      <w:proofErr w:type="spellStart"/>
      <w:r>
        <w:rPr>
          <w:rFonts w:ascii="Aptos" w:eastAsia="Aptos" w:hAnsi="Aptos" w:cs="Aptos"/>
          <w:sz w:val="24"/>
          <w:szCs w:val="24"/>
        </w:rPr>
        <w:t>macollaje</w:t>
      </w:r>
      <w:proofErr w:type="spellEnd"/>
      <w:r>
        <w:rPr>
          <w:rFonts w:ascii="Aptos" w:eastAsia="Aptos" w:hAnsi="Aptos" w:cs="Aptos"/>
          <w:sz w:val="24"/>
          <w:szCs w:val="24"/>
        </w:rPr>
        <w:t>-, el cultivo conserva una</w:t>
      </w:r>
      <w:r>
        <w:rPr>
          <w:rFonts w:ascii="Aptos" w:eastAsia="Aptos" w:hAnsi="Aptos" w:cs="Aptos"/>
          <w:b/>
          <w:bCs/>
          <w:sz w:val="24"/>
          <w:szCs w:val="24"/>
        </w:rPr>
        <w:t xml:space="preserve"> elevada capacidad de recuperación fisiológica y compensación.</w:t>
      </w:r>
    </w:p>
    <w:p w14:paraId="2B37960E" w14:textId="77777777" w:rsidR="00856EDF" w:rsidRDefault="00856EDF">
      <w:pPr>
        <w:jc w:val="both"/>
        <w:rPr>
          <w:rFonts w:ascii="Aptos" w:eastAsia="Aptos" w:hAnsi="Aptos" w:cs="Aptos"/>
          <w:sz w:val="24"/>
          <w:szCs w:val="24"/>
        </w:rPr>
      </w:pPr>
    </w:p>
    <w:p w14:paraId="0E845A26"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Previo al inicio del </w:t>
      </w:r>
      <w:r>
        <w:rPr>
          <w:rFonts w:ascii="Aptos" w:eastAsia="Aptos" w:hAnsi="Aptos" w:cs="Aptos"/>
          <w:b/>
          <w:bCs/>
          <w:sz w:val="24"/>
          <w:szCs w:val="24"/>
        </w:rPr>
        <w:t xml:space="preserve">Congreso </w:t>
      </w:r>
      <w:proofErr w:type="spellStart"/>
      <w:r>
        <w:rPr>
          <w:rFonts w:ascii="Aptos" w:eastAsia="Aptos" w:hAnsi="Aptos" w:cs="Aptos"/>
          <w:b/>
          <w:bCs/>
          <w:sz w:val="24"/>
          <w:szCs w:val="24"/>
        </w:rPr>
        <w:t>Aapresid</w:t>
      </w:r>
      <w:proofErr w:type="spellEnd"/>
      <w:r>
        <w:rPr>
          <w:rFonts w:ascii="Aptos" w:eastAsia="Aptos" w:hAnsi="Aptos" w:cs="Aptos"/>
          <w:b/>
          <w:bCs/>
          <w:sz w:val="24"/>
          <w:szCs w:val="24"/>
        </w:rPr>
        <w:t xml:space="preserve"> 2026</w:t>
      </w:r>
      <w:r>
        <w:rPr>
          <w:rFonts w:ascii="Aptos" w:eastAsia="Aptos" w:hAnsi="Aptos" w:cs="Aptos"/>
          <w:sz w:val="24"/>
          <w:szCs w:val="24"/>
        </w:rPr>
        <w:t xml:space="preserve"> </w:t>
      </w:r>
      <w:r>
        <w:rPr>
          <w:rFonts w:ascii="Aptos" w:eastAsia="Aptos" w:hAnsi="Aptos" w:cs="Aptos"/>
          <w:b/>
          <w:bCs/>
          <w:sz w:val="24"/>
          <w:szCs w:val="24"/>
        </w:rPr>
        <w:t>con la fuerza de Expoagro</w:t>
      </w:r>
      <w:r>
        <w:rPr>
          <w:rFonts w:ascii="Aptos" w:eastAsia="Aptos" w:hAnsi="Aptos" w:cs="Aptos"/>
          <w:sz w:val="24"/>
          <w:szCs w:val="24"/>
        </w:rPr>
        <w:t xml:space="preserve">, que se llevará a cabo </w:t>
      </w:r>
      <w:r>
        <w:rPr>
          <w:rFonts w:ascii="Aptos" w:eastAsia="Aptos" w:hAnsi="Aptos" w:cs="Aptos"/>
          <w:b/>
          <w:bCs/>
          <w:sz w:val="24"/>
          <w:szCs w:val="24"/>
        </w:rPr>
        <w:t>del 4 al 6 de agosto en el Salón Metropolitano de Rosario</w:t>
      </w:r>
      <w:r>
        <w:rPr>
          <w:rFonts w:ascii="Aptos" w:eastAsia="Aptos" w:hAnsi="Aptos" w:cs="Aptos"/>
          <w:sz w:val="24"/>
          <w:szCs w:val="24"/>
        </w:rPr>
        <w:t>, la firma adelantó los detalles de ese informe y adelantó novedades respecto a su desembarco en el evento.</w:t>
      </w:r>
    </w:p>
    <w:p w14:paraId="06832D17" w14:textId="77777777" w:rsidR="00856EDF" w:rsidRDefault="00856EDF">
      <w:pPr>
        <w:jc w:val="both"/>
        <w:rPr>
          <w:rFonts w:ascii="Aptos" w:eastAsia="Aptos" w:hAnsi="Aptos" w:cs="Aptos"/>
          <w:sz w:val="24"/>
          <w:szCs w:val="24"/>
        </w:rPr>
      </w:pPr>
    </w:p>
    <w:p w14:paraId="71657131" w14:textId="28A302FB" w:rsidR="00856EDF" w:rsidRPr="00C52E4E" w:rsidRDefault="00C52E4E">
      <w:pPr>
        <w:jc w:val="both"/>
        <w:rPr>
          <w:rFonts w:asciiTheme="majorHAnsi" w:eastAsia="Aptos" w:hAnsiTheme="majorHAnsi" w:cstheme="majorHAnsi"/>
          <w:b/>
          <w:bCs/>
          <w:sz w:val="24"/>
          <w:szCs w:val="24"/>
        </w:rPr>
      </w:pPr>
      <w:r w:rsidRPr="00C52E4E">
        <w:rPr>
          <w:rFonts w:asciiTheme="majorHAnsi" w:hAnsiTheme="majorHAnsi" w:cstheme="majorHAnsi"/>
          <w:b/>
          <w:bCs/>
          <w:sz w:val="24"/>
          <w:szCs w:val="24"/>
        </w:rPr>
        <w:t>Por qué el trigo puede recuperarse de las heladas tempranas</w:t>
      </w:r>
    </w:p>
    <w:p w14:paraId="5BB45A96" w14:textId="77777777" w:rsidR="00856EDF" w:rsidRDefault="00856EDF">
      <w:pPr>
        <w:jc w:val="both"/>
        <w:rPr>
          <w:rFonts w:ascii="Aptos" w:eastAsia="Aptos" w:hAnsi="Aptos" w:cs="Aptos"/>
          <w:sz w:val="24"/>
          <w:szCs w:val="24"/>
        </w:rPr>
      </w:pPr>
    </w:p>
    <w:p w14:paraId="31041B03" w14:textId="77777777" w:rsidR="00856EDF" w:rsidRDefault="004950F9">
      <w:pPr>
        <w:jc w:val="both"/>
        <w:rPr>
          <w:rFonts w:ascii="Aptos" w:eastAsia="Aptos" w:hAnsi="Aptos" w:cs="Aptos"/>
          <w:sz w:val="24"/>
          <w:szCs w:val="24"/>
        </w:rPr>
      </w:pPr>
      <w:r>
        <w:rPr>
          <w:rFonts w:ascii="Aptos" w:eastAsia="Aptos" w:hAnsi="Aptos" w:cs="Aptos"/>
          <w:sz w:val="24"/>
          <w:szCs w:val="24"/>
        </w:rPr>
        <w:t>La explicación está en la propia biología del cultivo. Durante las primeras etapas de desarrollo, el meristema o ápice de crecimiento permanece protegido por debajo o muy próximo al nivel del suelo. Por ese motivo, las bajas temperaturas afectan principalmente a las hojas expuestas, mientras que la estructura responsable del crecimiento de la planta permanece protegida.</w:t>
      </w:r>
    </w:p>
    <w:p w14:paraId="058D18DC" w14:textId="77777777" w:rsidR="00856EDF" w:rsidRDefault="00856EDF">
      <w:pPr>
        <w:jc w:val="both"/>
        <w:rPr>
          <w:rFonts w:ascii="Aptos" w:eastAsia="Aptos" w:hAnsi="Aptos" w:cs="Aptos"/>
          <w:sz w:val="24"/>
          <w:szCs w:val="24"/>
        </w:rPr>
      </w:pPr>
    </w:p>
    <w:p w14:paraId="10FF7070" w14:textId="77777777" w:rsidR="00856EDF" w:rsidRDefault="004950F9">
      <w:pPr>
        <w:jc w:val="both"/>
        <w:rPr>
          <w:rFonts w:ascii="Aptos" w:eastAsia="Aptos" w:hAnsi="Aptos" w:cs="Aptos"/>
          <w:sz w:val="24"/>
          <w:szCs w:val="24"/>
        </w:rPr>
      </w:pPr>
      <w:r>
        <w:rPr>
          <w:rFonts w:ascii="Aptos" w:eastAsia="Aptos" w:hAnsi="Aptos" w:cs="Aptos"/>
          <w:sz w:val="24"/>
          <w:szCs w:val="24"/>
        </w:rPr>
        <w:t>El daño por heladas se origina por un proceso que provoca deshidratación celular, pérdida de la integridad de las membranas y necrosis de los tejidos. Eso es lo que arroja los síntomas característicos, como lo son el secado de las puntas de las hojas, la pérdida de turgencia y el conocido bandeado clorótico.</w:t>
      </w:r>
    </w:p>
    <w:p w14:paraId="32893B3A" w14:textId="77777777" w:rsidR="00856EDF" w:rsidRDefault="00856EDF">
      <w:pPr>
        <w:jc w:val="both"/>
        <w:rPr>
          <w:rFonts w:ascii="Aptos" w:eastAsia="Aptos" w:hAnsi="Aptos" w:cs="Aptos"/>
          <w:sz w:val="24"/>
          <w:szCs w:val="24"/>
        </w:rPr>
      </w:pPr>
    </w:p>
    <w:p w14:paraId="55B1DEEF" w14:textId="77777777" w:rsidR="00856EDF" w:rsidRDefault="004950F9">
      <w:pPr>
        <w:jc w:val="both"/>
        <w:rPr>
          <w:rFonts w:ascii="Aptos" w:eastAsia="Aptos" w:hAnsi="Aptos" w:cs="Aptos"/>
          <w:sz w:val="24"/>
          <w:szCs w:val="24"/>
        </w:rPr>
      </w:pPr>
      <w:r>
        <w:rPr>
          <w:rFonts w:ascii="Aptos" w:eastAsia="Aptos" w:hAnsi="Aptos" w:cs="Aptos"/>
          <w:sz w:val="24"/>
          <w:szCs w:val="24"/>
        </w:rPr>
        <w:lastRenderedPageBreak/>
        <w:t xml:space="preserve">Sin embargo, una de las principales conclusiones del trabajo es que </w:t>
      </w:r>
      <w:r>
        <w:rPr>
          <w:rFonts w:ascii="Aptos" w:eastAsia="Aptos" w:hAnsi="Aptos" w:cs="Aptos"/>
          <w:b/>
          <w:bCs/>
          <w:sz w:val="24"/>
          <w:szCs w:val="24"/>
        </w:rPr>
        <w:t>el aspecto del cultivo luego de una helada no siempre refleja el daño real sobre el rendimiento</w:t>
      </w:r>
      <w:r>
        <w:rPr>
          <w:rFonts w:ascii="Aptos" w:eastAsia="Aptos" w:hAnsi="Aptos" w:cs="Aptos"/>
          <w:sz w:val="24"/>
          <w:szCs w:val="24"/>
        </w:rPr>
        <w:t xml:space="preserve">. Por eso, los especialistas remarcan que resulta fundamental diferenciar entre el daño visual inmediato y el daño funcional del cultivo, ya que </w:t>
      </w:r>
      <w:r>
        <w:rPr>
          <w:rFonts w:ascii="Aptos" w:eastAsia="Aptos" w:hAnsi="Aptos" w:cs="Aptos"/>
          <w:b/>
          <w:bCs/>
          <w:sz w:val="24"/>
          <w:szCs w:val="24"/>
        </w:rPr>
        <w:t>no siempre existe una relación directa entre ambos</w:t>
      </w:r>
      <w:r>
        <w:rPr>
          <w:rFonts w:ascii="Aptos" w:eastAsia="Aptos" w:hAnsi="Aptos" w:cs="Aptos"/>
          <w:sz w:val="24"/>
          <w:szCs w:val="24"/>
        </w:rPr>
        <w:t>.</w:t>
      </w:r>
    </w:p>
    <w:p w14:paraId="23C25FE0" w14:textId="77777777" w:rsidR="00856EDF" w:rsidRDefault="00856EDF">
      <w:pPr>
        <w:jc w:val="both"/>
        <w:rPr>
          <w:rFonts w:ascii="Aptos" w:eastAsia="Aptos" w:hAnsi="Aptos" w:cs="Aptos"/>
          <w:sz w:val="24"/>
          <w:szCs w:val="24"/>
        </w:rPr>
      </w:pPr>
    </w:p>
    <w:p w14:paraId="72E4E12C"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La bibliografía internacional y los informes técnicos del INTA coinciden en este punto. Diversos estudios demuestran que las heladas ocurridas durante los estados vegetativos rara vez generan pérdidas significativas de rendimiento, gracias a la capacidad del trigo para reponer área foliar, mantener la dinámica de </w:t>
      </w:r>
      <w:proofErr w:type="spellStart"/>
      <w:r>
        <w:rPr>
          <w:rFonts w:ascii="Aptos" w:eastAsia="Aptos" w:hAnsi="Aptos" w:cs="Aptos"/>
          <w:sz w:val="24"/>
          <w:szCs w:val="24"/>
        </w:rPr>
        <w:t>macollaje</w:t>
      </w:r>
      <w:proofErr w:type="spellEnd"/>
      <w:r>
        <w:rPr>
          <w:rFonts w:ascii="Aptos" w:eastAsia="Aptos" w:hAnsi="Aptos" w:cs="Aptos"/>
          <w:sz w:val="24"/>
          <w:szCs w:val="24"/>
        </w:rPr>
        <w:t xml:space="preserve"> y compensar tempranamente la biomasa afectada.</w:t>
      </w:r>
    </w:p>
    <w:p w14:paraId="519F5C27" w14:textId="77777777" w:rsidR="00856EDF" w:rsidRDefault="00856EDF">
      <w:pPr>
        <w:jc w:val="both"/>
        <w:rPr>
          <w:rFonts w:ascii="Aptos" w:eastAsia="Aptos" w:hAnsi="Aptos" w:cs="Aptos"/>
          <w:sz w:val="24"/>
          <w:szCs w:val="24"/>
        </w:rPr>
      </w:pPr>
    </w:p>
    <w:p w14:paraId="699F3814" w14:textId="77777777" w:rsidR="00856EDF" w:rsidRDefault="004950F9">
      <w:pPr>
        <w:jc w:val="both"/>
        <w:rPr>
          <w:rFonts w:ascii="Aptos" w:eastAsia="Aptos" w:hAnsi="Aptos" w:cs="Aptos"/>
          <w:b/>
          <w:bCs/>
          <w:sz w:val="24"/>
          <w:szCs w:val="24"/>
        </w:rPr>
      </w:pPr>
      <w:r>
        <w:rPr>
          <w:rFonts w:ascii="Aptos" w:eastAsia="Aptos" w:hAnsi="Aptos" w:cs="Aptos"/>
          <w:b/>
          <w:bCs/>
          <w:sz w:val="24"/>
          <w:szCs w:val="24"/>
        </w:rPr>
        <w:t xml:space="preserve">Cuando el frío le abre la puerta a la </w:t>
      </w:r>
      <w:proofErr w:type="spellStart"/>
      <w:r>
        <w:rPr>
          <w:rFonts w:ascii="Aptos" w:eastAsia="Aptos" w:hAnsi="Aptos" w:cs="Aptos"/>
          <w:b/>
          <w:bCs/>
          <w:sz w:val="24"/>
          <w:szCs w:val="24"/>
        </w:rPr>
        <w:t>bacteriosis</w:t>
      </w:r>
      <w:proofErr w:type="spellEnd"/>
    </w:p>
    <w:p w14:paraId="1C375765" w14:textId="77777777" w:rsidR="00856EDF" w:rsidRDefault="00856EDF">
      <w:pPr>
        <w:jc w:val="both"/>
        <w:rPr>
          <w:rFonts w:ascii="Aptos" w:eastAsia="Aptos" w:hAnsi="Aptos" w:cs="Aptos"/>
          <w:sz w:val="24"/>
          <w:szCs w:val="24"/>
        </w:rPr>
      </w:pPr>
    </w:p>
    <w:p w14:paraId="12208866"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Otro de los aspectos desarrollados por el equipo técnico es la aparición de </w:t>
      </w:r>
      <w:r>
        <w:rPr>
          <w:rFonts w:ascii="Aptos" w:eastAsia="Aptos" w:hAnsi="Aptos" w:cs="Aptos"/>
          <w:b/>
          <w:bCs/>
          <w:sz w:val="24"/>
          <w:szCs w:val="24"/>
        </w:rPr>
        <w:t xml:space="preserve">síntomas compatibles con </w:t>
      </w:r>
      <w:proofErr w:type="spellStart"/>
      <w:r>
        <w:rPr>
          <w:rFonts w:ascii="Aptos" w:eastAsia="Aptos" w:hAnsi="Aptos" w:cs="Aptos"/>
          <w:b/>
          <w:bCs/>
          <w:sz w:val="24"/>
          <w:szCs w:val="24"/>
        </w:rPr>
        <w:t>bacteriosis</w:t>
      </w:r>
      <w:proofErr w:type="spellEnd"/>
      <w:r>
        <w:rPr>
          <w:rFonts w:ascii="Aptos" w:eastAsia="Aptos" w:hAnsi="Aptos" w:cs="Aptos"/>
          <w:sz w:val="24"/>
          <w:szCs w:val="24"/>
        </w:rPr>
        <w:t xml:space="preserve"> en algunos lotes afectados por las heladas.</w:t>
      </w:r>
    </w:p>
    <w:p w14:paraId="051D6835" w14:textId="77777777" w:rsidR="00856EDF" w:rsidRDefault="00856EDF">
      <w:pPr>
        <w:jc w:val="both"/>
        <w:rPr>
          <w:rFonts w:ascii="Aptos" w:eastAsia="Aptos" w:hAnsi="Aptos" w:cs="Aptos"/>
          <w:sz w:val="24"/>
          <w:szCs w:val="24"/>
        </w:rPr>
      </w:pPr>
    </w:p>
    <w:p w14:paraId="543360BD"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Según explican los especialistas, estas infecciones deben interpretarse, en la mayoría de los casos, como </w:t>
      </w:r>
      <w:r>
        <w:rPr>
          <w:rFonts w:ascii="Aptos" w:eastAsia="Aptos" w:hAnsi="Aptos" w:cs="Aptos"/>
          <w:b/>
          <w:bCs/>
          <w:sz w:val="24"/>
          <w:szCs w:val="24"/>
        </w:rPr>
        <w:t>una consecuencia secundaria del daño provocado por el estrés térmico</w:t>
      </w:r>
      <w:r>
        <w:rPr>
          <w:rFonts w:ascii="Aptos" w:eastAsia="Aptos" w:hAnsi="Aptos" w:cs="Aptos"/>
          <w:sz w:val="24"/>
          <w:szCs w:val="24"/>
        </w:rPr>
        <w:t>, ya que las lesiones generadas por las bajas temperaturas facilitan la colonización por bacterias oportunistas.</w:t>
      </w:r>
    </w:p>
    <w:p w14:paraId="5213284C" w14:textId="77777777" w:rsidR="00856EDF" w:rsidRDefault="00856EDF">
      <w:pPr>
        <w:jc w:val="both"/>
        <w:rPr>
          <w:rFonts w:ascii="Aptos" w:eastAsia="Aptos" w:hAnsi="Aptos" w:cs="Aptos"/>
          <w:sz w:val="24"/>
          <w:szCs w:val="24"/>
        </w:rPr>
      </w:pPr>
    </w:p>
    <w:p w14:paraId="43FDCC31"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Entre ellas, el informe menciona a la </w:t>
      </w:r>
      <w:r>
        <w:rPr>
          <w:rFonts w:ascii="Aptos" w:eastAsia="Aptos" w:hAnsi="Aptos" w:cs="Aptos"/>
          <w:i/>
          <w:iCs/>
          <w:sz w:val="24"/>
          <w:szCs w:val="24"/>
        </w:rPr>
        <w:t xml:space="preserve">Pseudomonas </w:t>
      </w:r>
      <w:proofErr w:type="spellStart"/>
      <w:r>
        <w:rPr>
          <w:rFonts w:ascii="Aptos" w:eastAsia="Aptos" w:hAnsi="Aptos" w:cs="Aptos"/>
          <w:i/>
          <w:iCs/>
          <w:sz w:val="24"/>
          <w:szCs w:val="24"/>
        </w:rPr>
        <w:t>syringae</w:t>
      </w:r>
      <w:proofErr w:type="spellEnd"/>
      <w:r>
        <w:rPr>
          <w:rFonts w:ascii="Aptos" w:eastAsia="Aptos" w:hAnsi="Aptos" w:cs="Aptos"/>
          <w:sz w:val="24"/>
          <w:szCs w:val="24"/>
        </w:rPr>
        <w:t>, un microorganismo que amplifica el efecto del estrés abiótico y se propagan aún con temperaturas bajo cero.</w:t>
      </w:r>
    </w:p>
    <w:p w14:paraId="7A8F52CE" w14:textId="77777777" w:rsidR="00856EDF" w:rsidRDefault="00856EDF">
      <w:pPr>
        <w:jc w:val="both"/>
        <w:rPr>
          <w:rFonts w:ascii="Aptos" w:eastAsia="Aptos" w:hAnsi="Aptos" w:cs="Aptos"/>
          <w:sz w:val="24"/>
          <w:szCs w:val="24"/>
        </w:rPr>
      </w:pPr>
    </w:p>
    <w:p w14:paraId="6768B553"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Los síntomas más frecuentes incluyen lesiones inicialmente acuosas, manchas cloróticas y posteriores necrosis localizadas. Sin embargo, desde el punto de vista fitopatológico, </w:t>
      </w:r>
      <w:r>
        <w:rPr>
          <w:rFonts w:ascii="Aptos" w:eastAsia="Aptos" w:hAnsi="Aptos" w:cs="Aptos"/>
          <w:b/>
          <w:bCs/>
          <w:sz w:val="24"/>
          <w:szCs w:val="24"/>
        </w:rPr>
        <w:t xml:space="preserve">estas </w:t>
      </w:r>
      <w:proofErr w:type="spellStart"/>
      <w:r>
        <w:rPr>
          <w:rFonts w:ascii="Aptos" w:eastAsia="Aptos" w:hAnsi="Aptos" w:cs="Aptos"/>
          <w:b/>
          <w:bCs/>
          <w:sz w:val="24"/>
          <w:szCs w:val="24"/>
        </w:rPr>
        <w:t>bacteriosis</w:t>
      </w:r>
      <w:proofErr w:type="spellEnd"/>
      <w:r>
        <w:rPr>
          <w:rFonts w:ascii="Aptos" w:eastAsia="Aptos" w:hAnsi="Aptos" w:cs="Aptos"/>
          <w:b/>
          <w:bCs/>
          <w:sz w:val="24"/>
          <w:szCs w:val="24"/>
        </w:rPr>
        <w:t xml:space="preserve"> generalmente no presentan un comportamiento sistémico ni la agresividad suficiente para comprometer el cultivo</w:t>
      </w:r>
      <w:r>
        <w:rPr>
          <w:rFonts w:ascii="Aptos" w:eastAsia="Aptos" w:hAnsi="Aptos" w:cs="Aptos"/>
          <w:sz w:val="24"/>
          <w:szCs w:val="24"/>
        </w:rPr>
        <w:t xml:space="preserve"> cuando no existen otros factores predisponentes.</w:t>
      </w:r>
    </w:p>
    <w:p w14:paraId="3701212C" w14:textId="77777777" w:rsidR="00856EDF" w:rsidRDefault="00856EDF">
      <w:pPr>
        <w:jc w:val="both"/>
        <w:rPr>
          <w:rFonts w:ascii="Aptos" w:eastAsia="Aptos" w:hAnsi="Aptos" w:cs="Aptos"/>
          <w:sz w:val="24"/>
          <w:szCs w:val="24"/>
        </w:rPr>
      </w:pPr>
    </w:p>
    <w:p w14:paraId="41625DAA" w14:textId="77777777" w:rsidR="00856EDF" w:rsidRDefault="004950F9">
      <w:pPr>
        <w:jc w:val="both"/>
        <w:rPr>
          <w:rFonts w:ascii="Aptos" w:eastAsia="Aptos" w:hAnsi="Aptos" w:cs="Aptos"/>
          <w:b/>
          <w:bCs/>
          <w:sz w:val="24"/>
          <w:szCs w:val="24"/>
        </w:rPr>
      </w:pPr>
      <w:r>
        <w:rPr>
          <w:rFonts w:ascii="Aptos" w:eastAsia="Aptos" w:hAnsi="Aptos" w:cs="Aptos"/>
          <w:b/>
          <w:bCs/>
          <w:sz w:val="24"/>
          <w:szCs w:val="24"/>
        </w:rPr>
        <w:t>Tecnología, genética y propiedad intelectual</w:t>
      </w:r>
    </w:p>
    <w:p w14:paraId="75B023F0" w14:textId="77777777" w:rsidR="00856EDF" w:rsidRDefault="00856EDF">
      <w:pPr>
        <w:jc w:val="both"/>
        <w:rPr>
          <w:rFonts w:ascii="Aptos" w:eastAsia="Aptos" w:hAnsi="Aptos" w:cs="Aptos"/>
          <w:sz w:val="24"/>
          <w:szCs w:val="24"/>
        </w:rPr>
      </w:pPr>
    </w:p>
    <w:p w14:paraId="015F9E96"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Con el avance de la siembra de trigo y una campaña ya comenzada en gran parte del país, </w:t>
      </w:r>
      <w:proofErr w:type="spellStart"/>
      <w:r>
        <w:rPr>
          <w:rFonts w:ascii="Aptos" w:eastAsia="Aptos" w:hAnsi="Aptos" w:cs="Aptos"/>
          <w:b/>
          <w:bCs/>
          <w:sz w:val="24"/>
          <w:szCs w:val="24"/>
        </w:rPr>
        <w:t>Neogen</w:t>
      </w:r>
      <w:proofErr w:type="spellEnd"/>
      <w:r>
        <w:rPr>
          <w:rFonts w:ascii="Aptos" w:eastAsia="Aptos" w:hAnsi="Aptos" w:cs="Aptos"/>
          <w:b/>
          <w:bCs/>
          <w:sz w:val="24"/>
          <w:szCs w:val="24"/>
        </w:rPr>
        <w:t xml:space="preserve"> </w:t>
      </w:r>
      <w:r>
        <w:rPr>
          <w:rFonts w:ascii="Aptos" w:eastAsia="Aptos" w:hAnsi="Aptos" w:cs="Aptos"/>
          <w:sz w:val="24"/>
          <w:szCs w:val="24"/>
        </w:rPr>
        <w:t xml:space="preserve">también pone el foco en otro aspecto estratégico: la </w:t>
      </w:r>
      <w:r>
        <w:rPr>
          <w:rFonts w:ascii="Aptos" w:eastAsia="Aptos" w:hAnsi="Aptos" w:cs="Aptos"/>
          <w:b/>
          <w:bCs/>
          <w:sz w:val="24"/>
          <w:szCs w:val="24"/>
        </w:rPr>
        <w:t xml:space="preserve">incorporación de genética de alto potencial </w:t>
      </w:r>
      <w:r>
        <w:rPr>
          <w:rFonts w:ascii="Aptos" w:eastAsia="Aptos" w:hAnsi="Aptos" w:cs="Aptos"/>
          <w:sz w:val="24"/>
          <w:szCs w:val="24"/>
        </w:rPr>
        <w:t>bajo un esquema que promueve la innovación y el reconocimiento de la propiedad intelectual.</w:t>
      </w:r>
    </w:p>
    <w:p w14:paraId="4C537F4A" w14:textId="77777777" w:rsidR="00856EDF" w:rsidRDefault="00856EDF">
      <w:pPr>
        <w:jc w:val="both"/>
        <w:rPr>
          <w:rFonts w:ascii="Aptos" w:eastAsia="Aptos" w:hAnsi="Aptos" w:cs="Aptos"/>
          <w:sz w:val="24"/>
          <w:szCs w:val="24"/>
        </w:rPr>
      </w:pPr>
    </w:p>
    <w:p w14:paraId="3A470676"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Sobre ese escenario, en el marco del </w:t>
      </w:r>
      <w:r>
        <w:rPr>
          <w:rFonts w:ascii="Aptos" w:eastAsia="Aptos" w:hAnsi="Aptos" w:cs="Aptos"/>
          <w:b/>
          <w:bCs/>
          <w:sz w:val="24"/>
          <w:szCs w:val="24"/>
        </w:rPr>
        <w:t xml:space="preserve">Congreso </w:t>
      </w:r>
      <w:proofErr w:type="spellStart"/>
      <w:r>
        <w:rPr>
          <w:rFonts w:ascii="Aptos" w:eastAsia="Aptos" w:hAnsi="Aptos" w:cs="Aptos"/>
          <w:b/>
          <w:bCs/>
          <w:sz w:val="24"/>
          <w:szCs w:val="24"/>
        </w:rPr>
        <w:t>Aapresid</w:t>
      </w:r>
      <w:proofErr w:type="spellEnd"/>
      <w:r>
        <w:rPr>
          <w:rFonts w:ascii="Aptos" w:eastAsia="Aptos" w:hAnsi="Aptos" w:cs="Aptos"/>
          <w:sz w:val="24"/>
          <w:szCs w:val="24"/>
        </w:rPr>
        <w:t xml:space="preserve"> la marca impulsará el </w:t>
      </w:r>
      <w:r>
        <w:rPr>
          <w:rFonts w:ascii="Aptos" w:eastAsia="Aptos" w:hAnsi="Aptos" w:cs="Aptos"/>
          <w:b/>
          <w:bCs/>
          <w:sz w:val="24"/>
          <w:szCs w:val="24"/>
        </w:rPr>
        <w:t>concepto de Hectáreas Tecnológicas (HT)</w:t>
      </w:r>
      <w:r>
        <w:rPr>
          <w:rFonts w:ascii="Aptos" w:eastAsia="Aptos" w:hAnsi="Aptos" w:cs="Aptos"/>
          <w:sz w:val="24"/>
          <w:szCs w:val="24"/>
        </w:rPr>
        <w:t>, un sistema que busca fortalecer el desarrollo de nuevas variedades y brindar mayor previsibilidad al productor al momento de comercializar su cosecha.</w:t>
      </w:r>
    </w:p>
    <w:p w14:paraId="51CFB43C" w14:textId="77777777" w:rsidR="00856EDF" w:rsidRDefault="00856EDF">
      <w:pPr>
        <w:jc w:val="both"/>
        <w:rPr>
          <w:rFonts w:ascii="Aptos" w:eastAsia="Aptos" w:hAnsi="Aptos" w:cs="Aptos"/>
          <w:sz w:val="24"/>
          <w:szCs w:val="24"/>
        </w:rPr>
      </w:pPr>
    </w:p>
    <w:p w14:paraId="284233B2" w14:textId="77777777" w:rsidR="00856EDF" w:rsidRDefault="004950F9">
      <w:pPr>
        <w:jc w:val="both"/>
        <w:rPr>
          <w:rFonts w:ascii="Aptos" w:eastAsia="Aptos" w:hAnsi="Aptos" w:cs="Aptos"/>
          <w:sz w:val="24"/>
          <w:szCs w:val="24"/>
        </w:rPr>
      </w:pPr>
      <w:r>
        <w:rPr>
          <w:rFonts w:ascii="Aptos" w:eastAsia="Aptos" w:hAnsi="Aptos" w:cs="Aptos"/>
          <w:i/>
          <w:iCs/>
          <w:sz w:val="24"/>
          <w:szCs w:val="24"/>
        </w:rPr>
        <w:lastRenderedPageBreak/>
        <w:t>“El HT es el mecanismo que tiene el productor para reconocer la propiedad intelectual a partir del uso propio”</w:t>
      </w:r>
      <w:r>
        <w:rPr>
          <w:rFonts w:ascii="Aptos" w:eastAsia="Aptos" w:hAnsi="Aptos" w:cs="Aptos"/>
          <w:sz w:val="24"/>
          <w:szCs w:val="24"/>
        </w:rPr>
        <w:t xml:space="preserve">, explicó </w:t>
      </w:r>
      <w:r>
        <w:rPr>
          <w:rFonts w:ascii="Aptos" w:eastAsia="Aptos" w:hAnsi="Aptos" w:cs="Aptos"/>
          <w:b/>
          <w:bCs/>
          <w:sz w:val="24"/>
          <w:szCs w:val="24"/>
        </w:rPr>
        <w:t xml:space="preserve">Gonzalo Crespo, gerente de marca de </w:t>
      </w:r>
      <w:proofErr w:type="spellStart"/>
      <w:r>
        <w:rPr>
          <w:rFonts w:ascii="Aptos" w:eastAsia="Aptos" w:hAnsi="Aptos" w:cs="Aptos"/>
          <w:b/>
          <w:bCs/>
          <w:sz w:val="24"/>
          <w:szCs w:val="24"/>
        </w:rPr>
        <w:t>Neogen</w:t>
      </w:r>
      <w:proofErr w:type="spellEnd"/>
      <w:r>
        <w:rPr>
          <w:rFonts w:ascii="Aptos" w:eastAsia="Aptos" w:hAnsi="Aptos" w:cs="Aptos"/>
          <w:sz w:val="24"/>
          <w:szCs w:val="24"/>
        </w:rPr>
        <w:t xml:space="preserve">, quien señaló que </w:t>
      </w:r>
      <w:r>
        <w:rPr>
          <w:rFonts w:ascii="Aptos" w:eastAsia="Aptos" w:hAnsi="Aptos" w:cs="Aptos"/>
          <w:i/>
          <w:iCs/>
          <w:sz w:val="24"/>
          <w:szCs w:val="24"/>
        </w:rPr>
        <w:t>“comprando las Hectáreas Tecnológicas, el productor va a tener toda su documentación en regla para poder entregar el grano al momento de la cosecha sin ningún inconveniente”</w:t>
      </w:r>
      <w:r>
        <w:rPr>
          <w:rFonts w:ascii="Aptos" w:eastAsia="Aptos" w:hAnsi="Aptos" w:cs="Aptos"/>
          <w:sz w:val="24"/>
          <w:szCs w:val="24"/>
        </w:rPr>
        <w:t>.</w:t>
      </w:r>
    </w:p>
    <w:p w14:paraId="0EC5FB99" w14:textId="77777777" w:rsidR="00856EDF" w:rsidRDefault="00856EDF">
      <w:pPr>
        <w:jc w:val="both"/>
        <w:rPr>
          <w:rFonts w:ascii="Aptos" w:eastAsia="Aptos" w:hAnsi="Aptos" w:cs="Aptos"/>
          <w:sz w:val="24"/>
          <w:szCs w:val="24"/>
        </w:rPr>
      </w:pPr>
    </w:p>
    <w:p w14:paraId="5C51DE71"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El directivo destacó además que </w:t>
      </w:r>
      <w:r>
        <w:rPr>
          <w:rFonts w:ascii="Aptos" w:eastAsia="Aptos" w:hAnsi="Aptos" w:cs="Aptos"/>
          <w:b/>
          <w:bCs/>
          <w:sz w:val="24"/>
          <w:szCs w:val="24"/>
        </w:rPr>
        <w:t>esta campaña marcará un punto de inflexión</w:t>
      </w:r>
      <w:r>
        <w:rPr>
          <w:rFonts w:ascii="Aptos" w:eastAsia="Aptos" w:hAnsi="Aptos" w:cs="Aptos"/>
          <w:sz w:val="24"/>
          <w:szCs w:val="24"/>
        </w:rPr>
        <w:t xml:space="preserve"> para el sistema.</w:t>
      </w:r>
      <w:r>
        <w:rPr>
          <w:rFonts w:ascii="Aptos" w:eastAsia="Aptos" w:hAnsi="Aptos" w:cs="Aptos"/>
          <w:i/>
          <w:iCs/>
          <w:sz w:val="24"/>
          <w:szCs w:val="24"/>
        </w:rPr>
        <w:t xml:space="preserve"> “Este será el primer año en que el control del grano a cosecha estará realmente consolidado en trigo”</w:t>
      </w:r>
      <w:r>
        <w:rPr>
          <w:rFonts w:ascii="Aptos" w:eastAsia="Aptos" w:hAnsi="Aptos" w:cs="Aptos"/>
          <w:sz w:val="24"/>
          <w:szCs w:val="24"/>
        </w:rPr>
        <w:t xml:space="preserve">, afirmó, al tiempo que recordó la importancia de adherirse </w:t>
      </w:r>
      <w:r>
        <w:rPr>
          <w:rFonts w:ascii="Aptos" w:eastAsia="Aptos" w:hAnsi="Aptos" w:cs="Aptos"/>
          <w:b/>
          <w:bCs/>
          <w:sz w:val="24"/>
          <w:szCs w:val="24"/>
        </w:rPr>
        <w:t>al Programa de Precertificación de Hectáreas (PPH)</w:t>
      </w:r>
      <w:r>
        <w:rPr>
          <w:rFonts w:ascii="Aptos" w:eastAsia="Aptos" w:hAnsi="Aptos" w:cs="Aptos"/>
          <w:sz w:val="24"/>
          <w:szCs w:val="24"/>
        </w:rPr>
        <w:t xml:space="preserve"> antes de su vencimiento, previsto para agosto. </w:t>
      </w:r>
    </w:p>
    <w:p w14:paraId="4BCF884A" w14:textId="77777777" w:rsidR="00856EDF" w:rsidRDefault="00856EDF">
      <w:pPr>
        <w:jc w:val="both"/>
        <w:rPr>
          <w:rFonts w:ascii="Aptos" w:eastAsia="Aptos" w:hAnsi="Aptos" w:cs="Aptos"/>
          <w:sz w:val="24"/>
          <w:szCs w:val="24"/>
        </w:rPr>
      </w:pPr>
    </w:p>
    <w:p w14:paraId="73AC66A8"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Para la campaña triguera 2026/27, las variedades de </w:t>
      </w:r>
      <w:proofErr w:type="spellStart"/>
      <w:r>
        <w:rPr>
          <w:rFonts w:ascii="Aptos" w:eastAsia="Aptos" w:hAnsi="Aptos" w:cs="Aptos"/>
          <w:b/>
          <w:bCs/>
          <w:sz w:val="24"/>
          <w:szCs w:val="24"/>
        </w:rPr>
        <w:t>Neogen</w:t>
      </w:r>
      <w:proofErr w:type="spellEnd"/>
      <w:r>
        <w:rPr>
          <w:rFonts w:ascii="Aptos" w:eastAsia="Aptos" w:hAnsi="Aptos" w:cs="Aptos"/>
          <w:b/>
          <w:bCs/>
          <w:sz w:val="24"/>
          <w:szCs w:val="24"/>
        </w:rPr>
        <w:t xml:space="preserve"> </w:t>
      </w:r>
      <w:r>
        <w:rPr>
          <w:rFonts w:ascii="Aptos" w:eastAsia="Aptos" w:hAnsi="Aptos" w:cs="Aptos"/>
          <w:sz w:val="24"/>
          <w:szCs w:val="24"/>
        </w:rPr>
        <w:t xml:space="preserve">disponibles bajo el sistema de Hectáreas Tecnológicas son </w:t>
      </w:r>
      <w:r>
        <w:rPr>
          <w:rFonts w:ascii="Aptos" w:eastAsia="Aptos" w:hAnsi="Aptos" w:cs="Aptos"/>
          <w:b/>
          <w:bCs/>
          <w:sz w:val="24"/>
          <w:szCs w:val="24"/>
        </w:rPr>
        <w:t>NEO 30T23, NEO 50T23, NEO 51T25 y NEO 70T25</w:t>
      </w:r>
      <w:r>
        <w:rPr>
          <w:rFonts w:ascii="Aptos" w:eastAsia="Aptos" w:hAnsi="Aptos" w:cs="Aptos"/>
          <w:sz w:val="24"/>
          <w:szCs w:val="24"/>
        </w:rPr>
        <w:t xml:space="preserve">. </w:t>
      </w:r>
    </w:p>
    <w:p w14:paraId="37EB2AD3" w14:textId="77777777" w:rsidR="00856EDF" w:rsidRDefault="00856EDF">
      <w:pPr>
        <w:jc w:val="both"/>
        <w:rPr>
          <w:rFonts w:ascii="Aptos" w:eastAsia="Aptos" w:hAnsi="Aptos" w:cs="Aptos"/>
          <w:sz w:val="24"/>
          <w:szCs w:val="24"/>
        </w:rPr>
      </w:pPr>
    </w:p>
    <w:p w14:paraId="53D6BACA" w14:textId="77777777" w:rsidR="00856EDF" w:rsidRDefault="004950F9">
      <w:pPr>
        <w:jc w:val="both"/>
        <w:rPr>
          <w:rFonts w:ascii="Aptos" w:eastAsia="Aptos" w:hAnsi="Aptos" w:cs="Aptos"/>
          <w:sz w:val="24"/>
          <w:szCs w:val="24"/>
        </w:rPr>
      </w:pPr>
      <w:r>
        <w:rPr>
          <w:rFonts w:ascii="Aptos" w:eastAsia="Aptos" w:hAnsi="Aptos" w:cs="Aptos"/>
          <w:sz w:val="24"/>
          <w:szCs w:val="24"/>
        </w:rPr>
        <w:t xml:space="preserve">De esta manera, mientras acompaña a los productores con información técnica para interpretar correctamente el impacto de las heladas y tomar decisiones agronómicas basadas en evidencia, </w:t>
      </w:r>
      <w:proofErr w:type="spellStart"/>
      <w:r>
        <w:rPr>
          <w:rFonts w:ascii="Aptos" w:eastAsia="Aptos" w:hAnsi="Aptos" w:cs="Aptos"/>
          <w:sz w:val="24"/>
          <w:szCs w:val="24"/>
        </w:rPr>
        <w:t>Neogen</w:t>
      </w:r>
      <w:proofErr w:type="spellEnd"/>
      <w:r>
        <w:rPr>
          <w:rFonts w:ascii="Aptos" w:eastAsia="Aptos" w:hAnsi="Aptos" w:cs="Aptos"/>
          <w:sz w:val="24"/>
          <w:szCs w:val="24"/>
        </w:rPr>
        <w:t xml:space="preserve"> refuerza también su apuesta por una agricultura sustentada en genética de alto rendimiento, innovación y un sistema que promueve el reconocimiento de la propiedad intelectual como motor para el desarrollo de nuevos materiales.</w:t>
      </w:r>
    </w:p>
    <w:p w14:paraId="6FC8C4ED" w14:textId="77777777" w:rsidR="00856EDF" w:rsidRDefault="00856EDF">
      <w:pPr>
        <w:jc w:val="both"/>
        <w:rPr>
          <w:rFonts w:ascii="Aptos" w:eastAsia="Aptos" w:hAnsi="Aptos" w:cs="Aptos"/>
          <w:sz w:val="24"/>
          <w:szCs w:val="24"/>
        </w:rPr>
      </w:pPr>
    </w:p>
    <w:p w14:paraId="0437A75F" w14:textId="77777777" w:rsidR="00856EDF" w:rsidRDefault="00856EDF">
      <w:pPr>
        <w:jc w:val="both"/>
        <w:rPr>
          <w:rFonts w:ascii="Aptos" w:eastAsia="Aptos" w:hAnsi="Aptos" w:cs="Aptos"/>
          <w:sz w:val="24"/>
          <w:szCs w:val="24"/>
        </w:rPr>
      </w:pPr>
    </w:p>
    <w:sectPr w:rsidR="00856EDF">
      <w:headerReference w:type="default" r:id="rId7"/>
      <w:foot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86D73" w14:textId="77777777" w:rsidR="006434F7" w:rsidRDefault="006434F7">
      <w:pPr>
        <w:spacing w:line="240" w:lineRule="auto"/>
      </w:pPr>
      <w:r>
        <w:separator/>
      </w:r>
    </w:p>
  </w:endnote>
  <w:endnote w:type="continuationSeparator" w:id="0">
    <w:p w14:paraId="5B6D108C" w14:textId="77777777" w:rsidR="006434F7" w:rsidRDefault="006434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2FEC147-0452-45B0-AC5C-C63FA994581D}"/>
    <w:embedBold r:id="rId2" w:fontKey="{B81AB622-109C-4462-B046-BD330588C8EB}"/>
  </w:font>
  <w:font w:name="Cambria">
    <w:panose1 w:val="02040503050406030204"/>
    <w:charset w:val="00"/>
    <w:family w:val="roman"/>
    <w:pitch w:val="variable"/>
    <w:sig w:usb0="E00006FF" w:usb1="420024FF" w:usb2="02000000" w:usb3="00000000" w:csb0="0000019F" w:csb1="00000000"/>
    <w:embedRegular r:id="rId3" w:fontKey="{CC979D8D-F64F-4602-A399-F059412DBC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D9DD" w14:textId="77777777" w:rsidR="00856EDF" w:rsidRDefault="00856E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F464B" w14:textId="77777777" w:rsidR="006434F7" w:rsidRDefault="006434F7">
      <w:pPr>
        <w:spacing w:line="240" w:lineRule="auto"/>
      </w:pPr>
      <w:r>
        <w:separator/>
      </w:r>
    </w:p>
  </w:footnote>
  <w:footnote w:type="continuationSeparator" w:id="0">
    <w:p w14:paraId="146FBC52" w14:textId="77777777" w:rsidR="006434F7" w:rsidRDefault="006434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86E7" w14:textId="77777777" w:rsidR="00856EDF" w:rsidRDefault="004950F9">
    <w:r>
      <w:rPr>
        <w:noProof/>
      </w:rPr>
      <w:drawing>
        <wp:anchor distT="0" distB="0" distL="0" distR="0" simplePos="0" relativeHeight="251658240" behindDoc="1" locked="0" layoutInCell="1" hidden="0" allowOverlap="1" wp14:anchorId="4FEEB303" wp14:editId="135666BD">
          <wp:simplePos x="0" y="0"/>
          <wp:positionH relativeFrom="page">
            <wp:posOffset>-9524</wp:posOffset>
          </wp:positionH>
          <wp:positionV relativeFrom="page">
            <wp:posOffset>-47624</wp:posOffset>
          </wp:positionV>
          <wp:extent cx="7606030" cy="91503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6030" cy="9150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DF"/>
    <w:rsid w:val="004950F9"/>
    <w:rsid w:val="006434F7"/>
    <w:rsid w:val="00856EDF"/>
    <w:rsid w:val="00C52E4E"/>
    <w:rsid w:val="00F43A0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FB4D"/>
  <w15:docId w15:val="{4E65CFB0-BA7F-4308-9560-3E0A6FD88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GEegK5tsfFH8dYBN0PgfwQcspA==">CgMxLjA4AHIhMVFWTURnSkktSnFOaXJaQzFTalBQUGxHSGlFS01tbGds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899</Words>
  <Characters>5128</Characters>
  <Application>Microsoft Office Word</Application>
  <DocSecurity>0</DocSecurity>
  <Lines>42</Lines>
  <Paragraphs>12</Paragraphs>
  <ScaleCrop>false</ScaleCrop>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Quattrini</dc:creator>
  <cp:lastModifiedBy>Brenda Quattrini</cp:lastModifiedBy>
  <cp:revision>3</cp:revision>
  <dcterms:created xsi:type="dcterms:W3CDTF">2026-07-08T19:13:00Z</dcterms:created>
  <dcterms:modified xsi:type="dcterms:W3CDTF">2026-07-15T11:50:00Z</dcterms:modified>
</cp:coreProperties>
</file>