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913C1" w14:textId="77777777" w:rsidR="00063D8F" w:rsidRPr="003535C9" w:rsidRDefault="00063D8F">
      <w:pPr>
        <w:spacing w:line="276" w:lineRule="auto"/>
        <w:jc w:val="both"/>
        <w:rPr>
          <w:sz w:val="28"/>
          <w:szCs w:val="28"/>
        </w:rPr>
      </w:pPr>
    </w:p>
    <w:p w14:paraId="0AC913C2" w14:textId="77777777" w:rsidR="00063D8F" w:rsidRPr="003535C9" w:rsidRDefault="009C6C15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3535C9">
        <w:rPr>
          <w:b/>
          <w:bCs/>
          <w:sz w:val="28"/>
          <w:szCs w:val="28"/>
        </w:rPr>
        <w:t>Cosecha récord, márgenes asimétricos e inversión privada: El panorama económico 2026 para el agro</w:t>
      </w:r>
    </w:p>
    <w:p w14:paraId="0AC913C3" w14:textId="77777777" w:rsidR="00063D8F" w:rsidRDefault="00063D8F">
      <w:pPr>
        <w:spacing w:after="0" w:line="276" w:lineRule="auto"/>
        <w:jc w:val="center"/>
        <w:rPr>
          <w:b/>
          <w:bCs/>
        </w:rPr>
      </w:pPr>
    </w:p>
    <w:p w14:paraId="0AC913C4" w14:textId="5A4A3D4F" w:rsidR="00063D8F" w:rsidRDefault="009C6C15">
      <w:pPr>
        <w:spacing w:after="0" w:line="276" w:lineRule="auto"/>
        <w:jc w:val="center"/>
        <w:rPr>
          <w:i/>
          <w:iCs/>
        </w:rPr>
      </w:pPr>
      <w:r>
        <w:rPr>
          <w:i/>
          <w:iCs/>
        </w:rPr>
        <w:t>Los economistas David Miazzo, Carlos Melconian y Salvador Di St</w:t>
      </w:r>
      <w:r w:rsidR="00187D0C">
        <w:rPr>
          <w:i/>
          <w:iCs/>
        </w:rPr>
        <w:t>é</w:t>
      </w:r>
      <w:r>
        <w:rPr>
          <w:i/>
          <w:iCs/>
        </w:rPr>
        <w:t xml:space="preserve">fano disertarán en </w:t>
      </w:r>
      <w:r>
        <w:rPr>
          <w:b/>
          <w:bCs/>
          <w:i/>
          <w:iCs/>
        </w:rPr>
        <w:t>Expoagro 2026</w:t>
      </w:r>
      <w:r w:rsidR="00187D0C">
        <w:rPr>
          <w:b/>
          <w:bCs/>
          <w:i/>
          <w:iCs/>
        </w:rPr>
        <w:t xml:space="preserve"> edición YPF Agro</w:t>
      </w:r>
      <w:r>
        <w:rPr>
          <w:b/>
          <w:bCs/>
          <w:i/>
          <w:iCs/>
        </w:rPr>
        <w:t xml:space="preserve"> </w:t>
      </w:r>
      <w:r>
        <w:rPr>
          <w:i/>
          <w:iCs/>
        </w:rPr>
        <w:t>sobre el año que le espera a los agronegocios. Las razones detrás de los buenos pronósticos y las advertencias de los especialistas.</w:t>
      </w:r>
    </w:p>
    <w:p w14:paraId="0AC913C5" w14:textId="77777777" w:rsidR="00063D8F" w:rsidRDefault="00063D8F">
      <w:pPr>
        <w:spacing w:after="0" w:line="276" w:lineRule="auto"/>
        <w:jc w:val="both"/>
        <w:rPr>
          <w:i/>
          <w:iCs/>
        </w:rPr>
      </w:pPr>
    </w:p>
    <w:p w14:paraId="0AC913C6" w14:textId="77777777" w:rsidR="00063D8F" w:rsidRDefault="009C6C15">
      <w:pPr>
        <w:spacing w:after="0" w:line="276" w:lineRule="auto"/>
        <w:jc w:val="both"/>
      </w:pPr>
      <w:r>
        <w:t>A las puertas de una campaña gruesa que promete batir récords, con la ganadería atravesando una de sus mejores épocas, y los incentivos que aporta la macroeconomía, se espera un 2026 con acumulación de divisas y un panorama propicio para invertir. En medio de los buenos pronósticos, las dudas recaen sobre la rentabilidad del sector, las nuevas rebajas impositivas y la dinámica que tendrá el mercado de granos.</w:t>
      </w:r>
    </w:p>
    <w:p w14:paraId="0AC913C7" w14:textId="77777777" w:rsidR="00063D8F" w:rsidRDefault="00063D8F">
      <w:pPr>
        <w:spacing w:after="0" w:line="276" w:lineRule="auto"/>
        <w:jc w:val="both"/>
      </w:pPr>
    </w:p>
    <w:p w14:paraId="0AC913C8" w14:textId="5C0DF49F" w:rsidR="00063D8F" w:rsidRDefault="009C6C15">
      <w:pPr>
        <w:spacing w:after="0" w:line="276" w:lineRule="auto"/>
        <w:jc w:val="both"/>
      </w:pPr>
      <w:r>
        <w:t xml:space="preserve">Distintos economistas disertarán al respecto en el </w:t>
      </w:r>
      <w:r>
        <w:rPr>
          <w:b/>
          <w:bCs/>
        </w:rPr>
        <w:t>Foro Económico</w:t>
      </w:r>
      <w:r>
        <w:t xml:space="preserve"> de </w:t>
      </w:r>
      <w:r>
        <w:rPr>
          <w:b/>
          <w:bCs/>
        </w:rPr>
        <w:t>Expoagro 2026 edición YPF Agro</w:t>
      </w:r>
      <w:r>
        <w:t>. El martes 10 de marzo a las 15 horas lo hará David Miazzo, el miércoles 11 a las 12 horas, Carlos Melconian, y el jueves 12 a las 16 horas, Salvador Di St</w:t>
      </w:r>
      <w:r w:rsidR="002E2C54">
        <w:t>é</w:t>
      </w:r>
      <w:r>
        <w:t xml:space="preserve">fano. Todas las intervenciones se llevarán a cabo en el </w:t>
      </w:r>
      <w:r>
        <w:rPr>
          <w:b/>
          <w:bCs/>
        </w:rPr>
        <w:t>Anfiteatro ArgenINTA</w:t>
      </w:r>
      <w:r>
        <w:t>.</w:t>
      </w:r>
    </w:p>
    <w:p w14:paraId="0AC913C9" w14:textId="77777777" w:rsidR="00063D8F" w:rsidRDefault="00063D8F">
      <w:pPr>
        <w:spacing w:after="0" w:line="276" w:lineRule="auto"/>
        <w:jc w:val="both"/>
      </w:pPr>
    </w:p>
    <w:p w14:paraId="0AC913CA" w14:textId="77777777" w:rsidR="00063D8F" w:rsidRDefault="009C6C15">
      <w:pPr>
        <w:spacing w:after="0" w:line="276" w:lineRule="auto"/>
        <w:jc w:val="both"/>
      </w:pPr>
      <w:r>
        <w:t xml:space="preserve">A la espera del termómetro que marcará la </w:t>
      </w:r>
      <w:r>
        <w:rPr>
          <w:b/>
          <w:bCs/>
        </w:rPr>
        <w:t>“Capital Nacional de los Agronegocios”</w:t>
      </w:r>
      <w:r>
        <w:t>, los especialistas adelantaron algunos de sus pronósticos.</w:t>
      </w:r>
    </w:p>
    <w:p w14:paraId="0AC913CB" w14:textId="77777777" w:rsidR="00063D8F" w:rsidRDefault="00063D8F">
      <w:pPr>
        <w:spacing w:after="0" w:line="276" w:lineRule="auto"/>
        <w:jc w:val="both"/>
      </w:pPr>
    </w:p>
    <w:p w14:paraId="0AC913CC" w14:textId="77777777" w:rsidR="00063D8F" w:rsidRDefault="009C6C15">
      <w:pPr>
        <w:spacing w:after="0" w:line="276" w:lineRule="auto"/>
        <w:jc w:val="both"/>
      </w:pPr>
      <w:r>
        <w:rPr>
          <w:b/>
          <w:bCs/>
        </w:rPr>
        <w:t>Año récord y con asimetrías</w:t>
      </w:r>
    </w:p>
    <w:p w14:paraId="0AC913CD" w14:textId="77777777" w:rsidR="00063D8F" w:rsidRDefault="00063D8F">
      <w:pPr>
        <w:spacing w:after="0" w:line="276" w:lineRule="auto"/>
        <w:jc w:val="both"/>
      </w:pPr>
    </w:p>
    <w:p w14:paraId="0AC913CE" w14:textId="7B326523" w:rsidR="00063D8F" w:rsidRDefault="009C6C15">
      <w:pPr>
        <w:spacing w:after="0" w:line="276" w:lineRule="auto"/>
        <w:jc w:val="both"/>
      </w:pPr>
      <w:r>
        <w:rPr>
          <w:i/>
          <w:iCs/>
        </w:rPr>
        <w:t xml:space="preserve">“El 2026 será un año sólidamente positivo para el agro argentino, pero con luces y sombras bien marcadas. Será un año de volumen </w:t>
      </w:r>
      <w:r w:rsidR="00CB77C8">
        <w:rPr>
          <w:i/>
          <w:iCs/>
        </w:rPr>
        <w:t>récord,</w:t>
      </w:r>
      <w:r>
        <w:rPr>
          <w:i/>
          <w:iCs/>
        </w:rPr>
        <w:t xml:space="preserve"> pero </w:t>
      </w:r>
      <w:r>
        <w:rPr>
          <w:b/>
          <w:bCs/>
          <w:i/>
          <w:iCs/>
        </w:rPr>
        <w:t>rentabilidad asimétrica</w:t>
      </w:r>
      <w:r>
        <w:rPr>
          <w:i/>
          <w:iCs/>
        </w:rPr>
        <w:t>, en el que la agricultura correrá para mantener el margen y la ganadería, para capitalizarlo”</w:t>
      </w:r>
      <w:r>
        <w:t>, evaluó el especialista en agroindustria</w:t>
      </w:r>
      <w:r w:rsidR="00A148EA">
        <w:t>,</w:t>
      </w:r>
      <w:r>
        <w:t xml:space="preserve"> David Miazzo.</w:t>
      </w:r>
    </w:p>
    <w:p w14:paraId="0AC913CF" w14:textId="77777777" w:rsidR="00063D8F" w:rsidRDefault="00063D8F">
      <w:pPr>
        <w:spacing w:after="0" w:line="276" w:lineRule="auto"/>
        <w:jc w:val="both"/>
      </w:pPr>
    </w:p>
    <w:p w14:paraId="0AC913D0" w14:textId="5A4BCD9D" w:rsidR="00063D8F" w:rsidRDefault="009C6C15">
      <w:pPr>
        <w:spacing w:after="0" w:line="276" w:lineRule="auto"/>
        <w:jc w:val="both"/>
      </w:pPr>
      <w:r>
        <w:t xml:space="preserve">Para el sector agrícola, las proyecciones son promisorias. Si el clima acompaña en la fase final -a pesar de la sequía registrada en enero-, la campaña gruesa será una de las más importantes de la historia. De acuerdo con proyecciones de la Bolsa de Comercio de Rosario, superaría </w:t>
      </w:r>
      <w:r w:rsidR="00B20A14">
        <w:t>los 154 millones</w:t>
      </w:r>
      <w:r>
        <w:rPr>
          <w:b/>
          <w:bCs/>
        </w:rPr>
        <w:t xml:space="preserve"> de toneladas</w:t>
      </w:r>
      <w:r>
        <w:t>, por encima de los anteriores máximos.</w:t>
      </w:r>
    </w:p>
    <w:p w14:paraId="0AC913D1" w14:textId="77777777" w:rsidR="00063D8F" w:rsidRDefault="00063D8F">
      <w:pPr>
        <w:spacing w:after="0" w:line="276" w:lineRule="auto"/>
        <w:jc w:val="both"/>
      </w:pPr>
    </w:p>
    <w:p w14:paraId="0AC913D2" w14:textId="77777777" w:rsidR="00063D8F" w:rsidRDefault="009C6C15">
      <w:pPr>
        <w:spacing w:after="0" w:line="276" w:lineRule="auto"/>
        <w:jc w:val="both"/>
      </w:pPr>
      <w:r>
        <w:rPr>
          <w:i/>
          <w:iCs/>
        </w:rPr>
        <w:t xml:space="preserve">“Fácilmente puede traducirse en un ingreso de divisas cercano a los </w:t>
      </w:r>
      <w:r>
        <w:rPr>
          <w:b/>
          <w:bCs/>
          <w:i/>
          <w:iCs/>
        </w:rPr>
        <w:t>50.000 millones de dólares</w:t>
      </w:r>
      <w:r>
        <w:rPr>
          <w:i/>
          <w:iCs/>
        </w:rPr>
        <w:t xml:space="preserve"> para todo el complejo”</w:t>
      </w:r>
      <w:r>
        <w:t xml:space="preserve">, explicó Miazzo, que igual advirtió que los márgenes en el sector </w:t>
      </w:r>
      <w:r>
        <w:rPr>
          <w:i/>
          <w:iCs/>
        </w:rPr>
        <w:t>“seguirán finos”</w:t>
      </w:r>
      <w:r>
        <w:t>.</w:t>
      </w:r>
    </w:p>
    <w:p w14:paraId="0AC913D3" w14:textId="77777777" w:rsidR="00063D8F" w:rsidRDefault="00063D8F">
      <w:pPr>
        <w:spacing w:after="0" w:line="276" w:lineRule="auto"/>
        <w:jc w:val="both"/>
      </w:pPr>
    </w:p>
    <w:p w14:paraId="0AC913D4" w14:textId="77777777" w:rsidR="00063D8F" w:rsidRDefault="009C6C15">
      <w:pPr>
        <w:spacing w:after="0" w:line="276" w:lineRule="auto"/>
        <w:jc w:val="both"/>
      </w:pPr>
      <w:r>
        <w:lastRenderedPageBreak/>
        <w:t xml:space="preserve">Ello responde a que los </w:t>
      </w:r>
      <w:r>
        <w:rPr>
          <w:b/>
          <w:bCs/>
        </w:rPr>
        <w:t>precios internacionales</w:t>
      </w:r>
      <w:r>
        <w:t xml:space="preserve"> de los commodities agrícolas se mantienen estables o con leve baja (apenas un 2% por debajo en 2026), pero alejados de sus picos históricos.</w:t>
      </w:r>
      <w:r>
        <w:rPr>
          <w:color w:val="1F1F1F"/>
          <w:highlight w:val="white"/>
        </w:rPr>
        <w:t xml:space="preserve"> </w:t>
      </w:r>
      <w:r>
        <w:t xml:space="preserve">Y, además, a que, si bien </w:t>
      </w:r>
      <w:r>
        <w:rPr>
          <w:i/>
          <w:iCs/>
        </w:rPr>
        <w:t>“la relación insumo-producto no es mala”,</w:t>
      </w:r>
      <w:r>
        <w:t xml:space="preserve"> explica el economista, la lupa seguirá puesta sobre los fertilizantes, que siguen caros en comparación a los granos.</w:t>
      </w:r>
    </w:p>
    <w:p w14:paraId="0AC913D5" w14:textId="77777777" w:rsidR="00063D8F" w:rsidRDefault="00063D8F">
      <w:pPr>
        <w:spacing w:after="0" w:line="276" w:lineRule="auto"/>
        <w:jc w:val="both"/>
      </w:pPr>
    </w:p>
    <w:p w14:paraId="0AC913D6" w14:textId="77777777" w:rsidR="00063D8F" w:rsidRDefault="009C6C15">
      <w:pPr>
        <w:spacing w:after="0" w:line="276" w:lineRule="auto"/>
        <w:jc w:val="both"/>
      </w:pPr>
      <w:r>
        <w:rPr>
          <w:i/>
          <w:iCs/>
          <w:color w:val="1F1F1F"/>
          <w:highlight w:val="white"/>
        </w:rPr>
        <w:t>“No es un viento de cola, pero es un mundo que va a dejar trabajar en términos de precios”</w:t>
      </w:r>
      <w:r>
        <w:rPr>
          <w:color w:val="1F1F1F"/>
          <w:highlight w:val="white"/>
        </w:rPr>
        <w:t>, observó, por su parte, Melconian.</w:t>
      </w:r>
    </w:p>
    <w:p w14:paraId="0AC913D7" w14:textId="77777777" w:rsidR="00063D8F" w:rsidRDefault="00063D8F">
      <w:pPr>
        <w:spacing w:after="0" w:line="276" w:lineRule="auto"/>
        <w:jc w:val="both"/>
      </w:pPr>
    </w:p>
    <w:p w14:paraId="0AC913D8" w14:textId="77777777" w:rsidR="00063D8F" w:rsidRDefault="009C6C1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Un sector con luz propia</w:t>
      </w:r>
    </w:p>
    <w:p w14:paraId="0AC913D9" w14:textId="77777777" w:rsidR="00063D8F" w:rsidRDefault="00063D8F">
      <w:pPr>
        <w:spacing w:after="0" w:line="276" w:lineRule="auto"/>
        <w:jc w:val="both"/>
      </w:pPr>
    </w:p>
    <w:p w14:paraId="0AC913DA" w14:textId="77777777" w:rsidR="00063D8F" w:rsidRDefault="009C6C15">
      <w:pPr>
        <w:spacing w:after="0" w:line="276" w:lineRule="auto"/>
        <w:jc w:val="both"/>
      </w:pPr>
      <w:r>
        <w:t xml:space="preserve">En la otra vereda está la ganadería, un sector que se sostiene con precios firmes y la demanda de los principales socios económicos. Por un lado, China, que hoy paga un 20% más que hace un año por nuestra carne, y por el otro, Estados Unidos, que acaba de quintuplicar la cuota preferencial (de 20.000 a 100.000 toneladas) y podría generar un </w:t>
      </w:r>
      <w:r>
        <w:rPr>
          <w:b/>
          <w:bCs/>
        </w:rPr>
        <w:t>ingreso adicional de 800 millones de dólares</w:t>
      </w:r>
      <w:r>
        <w:t>.</w:t>
      </w:r>
    </w:p>
    <w:p w14:paraId="0AC913DB" w14:textId="77777777" w:rsidR="00063D8F" w:rsidRDefault="00063D8F">
      <w:pPr>
        <w:spacing w:after="0" w:line="276" w:lineRule="auto"/>
        <w:jc w:val="both"/>
      </w:pPr>
    </w:p>
    <w:p w14:paraId="0AC913DC" w14:textId="77777777" w:rsidR="00063D8F" w:rsidRDefault="009C6C15">
      <w:pPr>
        <w:spacing w:after="0" w:line="276" w:lineRule="auto"/>
        <w:jc w:val="both"/>
      </w:pPr>
      <w:r>
        <w:rPr>
          <w:i/>
          <w:iCs/>
        </w:rPr>
        <w:t>“Si se suma un posible avance con la Unión Europea, la ganadería va a ser el motor de rentabilidad y de dólares frescos del año. Se combina la oferta restringida y la demanda fuerte, lo que genera precios altos y márgenes cómodos”</w:t>
      </w:r>
      <w:r>
        <w:t>, señaló Miazzo.</w:t>
      </w:r>
    </w:p>
    <w:p w14:paraId="0AC913DD" w14:textId="77777777" w:rsidR="00063D8F" w:rsidRDefault="00063D8F">
      <w:pPr>
        <w:spacing w:after="0" w:line="276" w:lineRule="auto"/>
        <w:jc w:val="both"/>
      </w:pPr>
    </w:p>
    <w:p w14:paraId="0AC913DE" w14:textId="739FA27B" w:rsidR="00063D8F" w:rsidRDefault="009C6C15">
      <w:pPr>
        <w:spacing w:after="0" w:line="276" w:lineRule="auto"/>
        <w:jc w:val="both"/>
      </w:pPr>
      <w:r>
        <w:t>En ese sentido, Di St</w:t>
      </w:r>
      <w:r w:rsidR="00387FCF">
        <w:t>é</w:t>
      </w:r>
      <w:r>
        <w:t xml:space="preserve">fano también observó la importancia de que el sector </w:t>
      </w:r>
      <w:r>
        <w:rPr>
          <w:b/>
          <w:bCs/>
        </w:rPr>
        <w:t>capitalice este buen presente</w:t>
      </w:r>
      <w:r>
        <w:t xml:space="preserve">. </w:t>
      </w:r>
      <w:r>
        <w:rPr>
          <w:i/>
          <w:iCs/>
        </w:rPr>
        <w:t>“La ganadería vacuna está en un momento bisagra de la historia, y es ahora el momento de invertir. Los precios no van a bajar, y, para que haya más retención de vientres -que nos aseguren más de 15 millones de terneros por año-, se necesita más inversión”</w:t>
      </w:r>
      <w:r>
        <w:t>, puntualizó el economista.</w:t>
      </w:r>
    </w:p>
    <w:p w14:paraId="0AC913DF" w14:textId="77777777" w:rsidR="00063D8F" w:rsidRDefault="00063D8F">
      <w:pPr>
        <w:spacing w:after="0" w:line="276" w:lineRule="auto"/>
        <w:jc w:val="both"/>
      </w:pPr>
    </w:p>
    <w:p w14:paraId="0AC913E0" w14:textId="77777777" w:rsidR="00063D8F" w:rsidRDefault="009C6C1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 xml:space="preserve">Combustible para la “macro” </w:t>
      </w:r>
    </w:p>
    <w:p w14:paraId="0AC913E1" w14:textId="77777777" w:rsidR="00063D8F" w:rsidRDefault="00063D8F">
      <w:pPr>
        <w:spacing w:after="0" w:line="276" w:lineRule="auto"/>
        <w:jc w:val="both"/>
        <w:rPr>
          <w:b/>
          <w:bCs/>
        </w:rPr>
      </w:pPr>
    </w:p>
    <w:p w14:paraId="0AC913E2" w14:textId="77777777" w:rsidR="00063D8F" w:rsidRDefault="009C6C15">
      <w:pPr>
        <w:spacing w:after="0" w:line="276" w:lineRule="auto"/>
        <w:jc w:val="both"/>
      </w:pPr>
      <w:r>
        <w:t xml:space="preserve">Las proyecciones de cara a la campaña 2025/26 también son promisorias para las cuentas públicas y los mercados, que aguardan el </w:t>
      </w:r>
      <w:r>
        <w:rPr>
          <w:b/>
          <w:bCs/>
        </w:rPr>
        <w:t>aluvión de “agro dólares”</w:t>
      </w:r>
      <w:r>
        <w:t xml:space="preserve"> tras una cosecha récord. Consultado al respecto, Melconian destacó que </w:t>
      </w:r>
      <w:r>
        <w:rPr>
          <w:i/>
          <w:iCs/>
        </w:rPr>
        <w:t xml:space="preserve">“el campo ha cumplido con su rol” </w:t>
      </w:r>
      <w:r>
        <w:t xml:space="preserve">y aseguró que el aporte del sector a las reservas fue </w:t>
      </w:r>
      <w:r>
        <w:rPr>
          <w:i/>
          <w:iCs/>
        </w:rPr>
        <w:t>“muy significativo”</w:t>
      </w:r>
      <w:r>
        <w:t xml:space="preserve"> los anteriores años. </w:t>
      </w:r>
    </w:p>
    <w:p w14:paraId="0AC913E3" w14:textId="77777777" w:rsidR="00063D8F" w:rsidRDefault="00063D8F">
      <w:pPr>
        <w:spacing w:after="0" w:line="276" w:lineRule="auto"/>
        <w:jc w:val="both"/>
      </w:pPr>
    </w:p>
    <w:p w14:paraId="0AC913E4" w14:textId="77777777" w:rsidR="00063D8F" w:rsidRDefault="009C6C15">
      <w:pPr>
        <w:spacing w:after="0" w:line="276" w:lineRule="auto"/>
        <w:jc w:val="both"/>
      </w:pPr>
      <w:r>
        <w:rPr>
          <w:i/>
          <w:iCs/>
        </w:rPr>
        <w:t>“El panorama de acumulación de divisas se ve muy robusto, el mejor desde 2021. Habrá un flujo fuerte y sostenido de dólares genuinos y eso le dará al Gobierno un colchón importante para seguir ordenando la macro”</w:t>
      </w:r>
      <w:r>
        <w:t xml:space="preserve">, explicó Miazzo, que igualmente advirtió por el </w:t>
      </w:r>
      <w:r>
        <w:rPr>
          <w:i/>
          <w:iCs/>
        </w:rPr>
        <w:t>“efecto tijera”</w:t>
      </w:r>
      <w:r>
        <w:t xml:space="preserve"> temporal que puede haber en el sector.</w:t>
      </w:r>
    </w:p>
    <w:p w14:paraId="0AC913E5" w14:textId="77777777" w:rsidR="00063D8F" w:rsidRDefault="00063D8F">
      <w:pPr>
        <w:spacing w:after="0" w:line="276" w:lineRule="auto"/>
        <w:jc w:val="both"/>
      </w:pPr>
    </w:p>
    <w:p w14:paraId="0AC913E6" w14:textId="77777777" w:rsidR="00063D8F" w:rsidRDefault="009C6C15">
      <w:pPr>
        <w:spacing w:after="0" w:line="276" w:lineRule="auto"/>
        <w:jc w:val="both"/>
      </w:pPr>
      <w:r>
        <w:lastRenderedPageBreak/>
        <w:t xml:space="preserve">En ese sentido, los economistas prevén que el ritmo de comercialización de los granos estará determinado por las </w:t>
      </w:r>
      <w:r>
        <w:rPr>
          <w:b/>
          <w:bCs/>
        </w:rPr>
        <w:t>expectativas de nuevas bajas de retenciones</w:t>
      </w:r>
      <w:r>
        <w:t xml:space="preserve">, una ventana que el propio gobierno nacional dejó abierta con los sucesivos recortes del año pasado. </w:t>
      </w:r>
    </w:p>
    <w:p w14:paraId="0AC913E7" w14:textId="77777777" w:rsidR="00063D8F" w:rsidRDefault="00063D8F">
      <w:pPr>
        <w:spacing w:after="0" w:line="276" w:lineRule="auto"/>
        <w:jc w:val="both"/>
      </w:pPr>
    </w:p>
    <w:p w14:paraId="0AC913E8" w14:textId="51905947" w:rsidR="00063D8F" w:rsidRDefault="009C6C15">
      <w:pPr>
        <w:spacing w:after="0" w:line="276" w:lineRule="auto"/>
        <w:jc w:val="both"/>
      </w:pPr>
      <w:r>
        <w:t>De acuerdo con Di St</w:t>
      </w:r>
      <w:r w:rsidR="005F1639">
        <w:t>éfa</w:t>
      </w:r>
      <w:r>
        <w:t xml:space="preserve">no, esa decisión estará atada a la </w:t>
      </w:r>
      <w:r>
        <w:rPr>
          <w:i/>
          <w:iCs/>
        </w:rPr>
        <w:t>“racionalidad en las cuentas públicas”</w:t>
      </w:r>
      <w:r>
        <w:t xml:space="preserve">, mientras que, para Melconian, </w:t>
      </w:r>
      <w:r>
        <w:rPr>
          <w:b/>
          <w:bCs/>
          <w:i/>
          <w:iCs/>
        </w:rPr>
        <w:t>“</w:t>
      </w:r>
      <w:r>
        <w:rPr>
          <w:b/>
          <w:bCs/>
          <w:i/>
          <w:iCs/>
          <w:color w:val="1F1F1F"/>
          <w:highlight w:val="white"/>
        </w:rPr>
        <w:t>no hay con qué ni por dónde”</w:t>
      </w:r>
      <w:r>
        <w:rPr>
          <w:b/>
          <w:bCs/>
          <w:color w:val="1F1F1F"/>
          <w:highlight w:val="white"/>
        </w:rPr>
        <w:t xml:space="preserve"> </w:t>
      </w:r>
      <w:r>
        <w:rPr>
          <w:color w:val="1F1F1F"/>
          <w:highlight w:val="white"/>
        </w:rPr>
        <w:t xml:space="preserve">ir hacia nuevos cambios en los derechos de exportación. </w:t>
      </w:r>
      <w:r>
        <w:rPr>
          <w:i/>
          <w:iCs/>
          <w:color w:val="1F1F1F"/>
          <w:highlight w:val="white"/>
        </w:rPr>
        <w:t>“Se tienen que dar por satisfechos con la rebaja tributaria que han recibido en el año 2025”,</w:t>
      </w:r>
      <w:r>
        <w:rPr>
          <w:color w:val="1F1F1F"/>
          <w:highlight w:val="white"/>
        </w:rPr>
        <w:t xml:space="preserve"> expresó.  </w:t>
      </w:r>
    </w:p>
    <w:p w14:paraId="0AC913E9" w14:textId="77777777" w:rsidR="00063D8F" w:rsidRDefault="00063D8F">
      <w:pPr>
        <w:spacing w:after="0" w:line="276" w:lineRule="auto"/>
        <w:jc w:val="both"/>
      </w:pPr>
    </w:p>
    <w:p w14:paraId="0AC913EA" w14:textId="77777777" w:rsidR="00063D8F" w:rsidRDefault="009C6C15">
      <w:pPr>
        <w:spacing w:after="0" w:line="276" w:lineRule="auto"/>
        <w:jc w:val="both"/>
      </w:pPr>
      <w:r>
        <w:rPr>
          <w:i/>
          <w:iCs/>
        </w:rPr>
        <w:t xml:space="preserve">“Algunos productores y el mercado podrían optar por retener parte del grano esperando una nueva quita. El desafío del Gobierno será </w:t>
      </w:r>
      <w:r>
        <w:rPr>
          <w:b/>
          <w:bCs/>
          <w:i/>
          <w:iCs/>
        </w:rPr>
        <w:t xml:space="preserve">gestionar esas expectativas </w:t>
      </w:r>
      <w:r>
        <w:rPr>
          <w:i/>
          <w:iCs/>
        </w:rPr>
        <w:t>para que la liquidación fluya y no se genere un cuello de botella financiero justo cuando más se necesitan los dólares”</w:t>
      </w:r>
      <w:r>
        <w:t>, señaló, por su parte, Miazzo.</w:t>
      </w:r>
    </w:p>
    <w:p w14:paraId="0AC913EB" w14:textId="77777777" w:rsidR="00063D8F" w:rsidRDefault="00063D8F">
      <w:pPr>
        <w:spacing w:after="0" w:line="276" w:lineRule="auto"/>
        <w:jc w:val="both"/>
        <w:rPr>
          <w:b/>
          <w:bCs/>
          <w:highlight w:val="yellow"/>
        </w:rPr>
      </w:pPr>
    </w:p>
    <w:p w14:paraId="0AC913EC" w14:textId="77777777" w:rsidR="00063D8F" w:rsidRDefault="009C6C1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 xml:space="preserve">Orden macro </w:t>
      </w:r>
      <w:proofErr w:type="gramStart"/>
      <w:r>
        <w:rPr>
          <w:b/>
          <w:bCs/>
        </w:rPr>
        <w:t>y..</w:t>
      </w:r>
      <w:proofErr w:type="gramEnd"/>
      <w:r>
        <w:rPr>
          <w:b/>
          <w:bCs/>
        </w:rPr>
        <w:t xml:space="preserve"> ¿momento de invertir? </w:t>
      </w:r>
    </w:p>
    <w:p w14:paraId="0AC913ED" w14:textId="77777777" w:rsidR="00063D8F" w:rsidRDefault="00063D8F">
      <w:pPr>
        <w:spacing w:after="0" w:line="276" w:lineRule="auto"/>
        <w:jc w:val="both"/>
      </w:pPr>
    </w:p>
    <w:p w14:paraId="0AC913EE" w14:textId="5FCE680A" w:rsidR="00063D8F" w:rsidRDefault="009C6C15">
      <w:pPr>
        <w:spacing w:after="0" w:line="276" w:lineRule="auto"/>
        <w:jc w:val="both"/>
      </w:pPr>
      <w:r>
        <w:t xml:space="preserve">Además </w:t>
      </w:r>
      <w:r w:rsidR="005D4B9C">
        <w:t>de las</w:t>
      </w:r>
      <w:r>
        <w:t xml:space="preserve"> variables económicas clave, las expectativas son también catalizadoras de la inversión privada. En ese sentido, Miazzo aseguró que el 2026 tendrá varios </w:t>
      </w:r>
      <w:r>
        <w:rPr>
          <w:i/>
          <w:iCs/>
        </w:rPr>
        <w:t>“condimentos”</w:t>
      </w:r>
      <w:r>
        <w:t xml:space="preserve"> a favor de ello, ya que además de una </w:t>
      </w:r>
      <w:r>
        <w:rPr>
          <w:i/>
          <w:iCs/>
        </w:rPr>
        <w:t>“mayor previsibilidad”,</w:t>
      </w:r>
      <w:r>
        <w:t xml:space="preserve"> el sector se encuentra también con </w:t>
      </w:r>
      <w:r>
        <w:rPr>
          <w:i/>
          <w:iCs/>
        </w:rPr>
        <w:t>“tasas más razonables”</w:t>
      </w:r>
      <w:r>
        <w:t xml:space="preserve"> e </w:t>
      </w:r>
      <w:r>
        <w:rPr>
          <w:i/>
          <w:iCs/>
        </w:rPr>
        <w:t>“incentivos concretos”</w:t>
      </w:r>
      <w:r>
        <w:t>.</w:t>
      </w:r>
    </w:p>
    <w:p w14:paraId="0AC913EF" w14:textId="77777777" w:rsidR="00063D8F" w:rsidRDefault="00063D8F">
      <w:pPr>
        <w:spacing w:after="0" w:line="276" w:lineRule="auto"/>
        <w:jc w:val="both"/>
      </w:pPr>
    </w:p>
    <w:p w14:paraId="0AC913F0" w14:textId="77777777" w:rsidR="00063D8F" w:rsidRDefault="009C6C15">
      <w:pPr>
        <w:spacing w:after="0" w:line="276" w:lineRule="auto"/>
        <w:jc w:val="both"/>
      </w:pPr>
      <w:r>
        <w:rPr>
          <w:i/>
          <w:iCs/>
        </w:rPr>
        <w:t xml:space="preserve">“Este va a ser, muy probablemente, </w:t>
      </w:r>
      <w:r>
        <w:rPr>
          <w:b/>
          <w:bCs/>
          <w:i/>
          <w:iCs/>
        </w:rPr>
        <w:t>el mejor año para la inversión privada en el agro</w:t>
      </w:r>
      <w:r>
        <w:rPr>
          <w:i/>
          <w:iCs/>
        </w:rPr>
        <w:t xml:space="preserve"> en los últimos 5 o 6 años”</w:t>
      </w:r>
      <w:r>
        <w:t xml:space="preserve">, evaluó el especialista sectorial quien, además del orden macro y el gradualismo fiscal y cambiario, también pondera que hay una leve mejoría en el acceso al crédito, sin las </w:t>
      </w:r>
      <w:r>
        <w:rPr>
          <w:i/>
          <w:iCs/>
        </w:rPr>
        <w:t>“tasas prohibitivas de 2025”</w:t>
      </w:r>
      <w:r>
        <w:t>.</w:t>
      </w:r>
    </w:p>
    <w:p w14:paraId="0AC913F1" w14:textId="77777777" w:rsidR="00063D8F" w:rsidRDefault="00063D8F">
      <w:pPr>
        <w:spacing w:after="0" w:line="276" w:lineRule="auto"/>
        <w:jc w:val="both"/>
      </w:pPr>
    </w:p>
    <w:p w14:paraId="0AC913F2" w14:textId="77777777" w:rsidR="00063D8F" w:rsidRDefault="009C6C15">
      <w:pPr>
        <w:spacing w:after="0" w:line="276" w:lineRule="auto"/>
        <w:jc w:val="both"/>
      </w:pPr>
      <w:r>
        <w:rPr>
          <w:i/>
          <w:iCs/>
        </w:rPr>
        <w:t>“Los productores que vienen de años de retención de capital ahora tienen caja, crédito y señales claras de que invertir vale la pena”</w:t>
      </w:r>
      <w:r>
        <w:t>, señaló.</w:t>
      </w:r>
    </w:p>
    <w:p w14:paraId="0AC913F3" w14:textId="77777777" w:rsidR="00063D8F" w:rsidRDefault="00063D8F">
      <w:pPr>
        <w:spacing w:after="0" w:line="276" w:lineRule="auto"/>
        <w:jc w:val="both"/>
      </w:pPr>
    </w:p>
    <w:p w14:paraId="0AC913F4" w14:textId="77777777" w:rsidR="00063D8F" w:rsidRDefault="009C6C15">
      <w:pPr>
        <w:spacing w:after="0" w:line="276" w:lineRule="auto"/>
        <w:jc w:val="both"/>
      </w:pPr>
      <w:r>
        <w:t xml:space="preserve">Entre los incentivos, toda la atención se la lleva el </w:t>
      </w:r>
      <w:r>
        <w:rPr>
          <w:b/>
          <w:bCs/>
        </w:rPr>
        <w:t>Régimen de Incentivo para Medianas Inversiones (RIMI)</w:t>
      </w:r>
      <w:r>
        <w:t>. Las ventajas de ese esquema son la amortización acelerada, la devolución anticipada del IVA y beneficios otorgados a quienes inviertan en bienes de capital, obras y tecnología.</w:t>
      </w:r>
    </w:p>
    <w:p w14:paraId="0AC913F5" w14:textId="77777777" w:rsidR="00063D8F" w:rsidRDefault="00063D8F">
      <w:pPr>
        <w:spacing w:after="0" w:line="276" w:lineRule="auto"/>
        <w:jc w:val="both"/>
        <w:rPr>
          <w:color w:val="1F1F1F"/>
          <w:highlight w:val="white"/>
        </w:rPr>
      </w:pPr>
    </w:p>
    <w:p w14:paraId="0AC913F6" w14:textId="77777777" w:rsidR="00063D8F" w:rsidRDefault="009C6C15">
      <w:pPr>
        <w:spacing w:after="0" w:line="276" w:lineRule="auto"/>
        <w:jc w:val="both"/>
        <w:rPr>
          <w:color w:val="1F1F1F"/>
          <w:highlight w:val="white"/>
        </w:rPr>
      </w:pPr>
      <w:r>
        <w:rPr>
          <w:i/>
          <w:iCs/>
          <w:color w:val="1F1F1F"/>
          <w:highlight w:val="white"/>
        </w:rPr>
        <w:t xml:space="preserve">“En términos de cómo se considera una crisis en la Argentina, el mayor activo es que </w:t>
      </w:r>
      <w:r>
        <w:rPr>
          <w:b/>
          <w:bCs/>
          <w:i/>
          <w:iCs/>
          <w:color w:val="1F1F1F"/>
          <w:highlight w:val="white"/>
        </w:rPr>
        <w:t>no se espera una crisis</w:t>
      </w:r>
      <w:r>
        <w:rPr>
          <w:i/>
          <w:iCs/>
          <w:color w:val="1F1F1F"/>
          <w:highlight w:val="white"/>
        </w:rPr>
        <w:t xml:space="preserve"> ni un conflicto inflacionario o cambiario”</w:t>
      </w:r>
      <w:r>
        <w:rPr>
          <w:color w:val="1F1F1F"/>
          <w:highlight w:val="white"/>
        </w:rPr>
        <w:t xml:space="preserve">, agregó Melconian, que igualmente aseguró que el desafío para el Palacio de Hacienda es ahora “quebrar la estanflación y </w:t>
      </w:r>
      <w:r>
        <w:rPr>
          <w:b/>
          <w:bCs/>
          <w:color w:val="1F1F1F"/>
          <w:highlight w:val="white"/>
        </w:rPr>
        <w:t>perforar el 2% mensual</w:t>
      </w:r>
      <w:r>
        <w:rPr>
          <w:color w:val="1F1F1F"/>
          <w:highlight w:val="white"/>
        </w:rPr>
        <w:t>”. Esos son catalizadores de la inversión privada que alcanzan también al sector agropecuario en su conjunto, incluidas las llamadas economías regionales.</w:t>
      </w:r>
    </w:p>
    <w:p w14:paraId="0AC913F7" w14:textId="77777777" w:rsidR="00063D8F" w:rsidRDefault="00063D8F">
      <w:pPr>
        <w:spacing w:after="0" w:line="276" w:lineRule="auto"/>
        <w:jc w:val="both"/>
        <w:rPr>
          <w:color w:val="1F1F1F"/>
          <w:highlight w:val="white"/>
        </w:rPr>
      </w:pPr>
    </w:p>
    <w:p w14:paraId="0AC913F8" w14:textId="77777777" w:rsidR="00063D8F" w:rsidRDefault="009C6C15">
      <w:pPr>
        <w:spacing w:after="0" w:line="276" w:lineRule="auto"/>
        <w:jc w:val="both"/>
      </w:pPr>
      <w:r>
        <w:rPr>
          <w:i/>
          <w:iCs/>
          <w:color w:val="1F1F1F"/>
          <w:highlight w:val="white"/>
        </w:rPr>
        <w:t xml:space="preserve">“Ahora, el </w:t>
      </w:r>
      <w:r>
        <w:rPr>
          <w:b/>
          <w:bCs/>
          <w:i/>
          <w:iCs/>
          <w:color w:val="1F1F1F"/>
          <w:highlight w:val="white"/>
        </w:rPr>
        <w:t>hueso duro de roer es activar la economía</w:t>
      </w:r>
      <w:r>
        <w:rPr>
          <w:i/>
          <w:iCs/>
          <w:color w:val="1F1F1F"/>
          <w:highlight w:val="white"/>
        </w:rPr>
        <w:t xml:space="preserve">, porque hubo un rebote en la </w:t>
      </w:r>
      <w:proofErr w:type="gramStart"/>
      <w:r>
        <w:rPr>
          <w:i/>
          <w:iCs/>
          <w:color w:val="1F1F1F"/>
          <w:highlight w:val="white"/>
        </w:rPr>
        <w:t>macro</w:t>
      </w:r>
      <w:proofErr w:type="gramEnd"/>
      <w:r>
        <w:rPr>
          <w:i/>
          <w:iCs/>
          <w:color w:val="1F1F1F"/>
          <w:highlight w:val="white"/>
        </w:rPr>
        <w:t xml:space="preserve"> pero en muchos sectores eso no se percibe”</w:t>
      </w:r>
      <w:r>
        <w:rPr>
          <w:color w:val="1F1F1F"/>
          <w:highlight w:val="white"/>
        </w:rPr>
        <w:t>, agregó el ex titular del Banco Nación.</w:t>
      </w:r>
    </w:p>
    <w:p w14:paraId="0AC913F9" w14:textId="77777777" w:rsidR="00063D8F" w:rsidRDefault="00063D8F">
      <w:pPr>
        <w:spacing w:after="0" w:line="276" w:lineRule="auto"/>
        <w:jc w:val="both"/>
        <w:rPr>
          <w:color w:val="1F1F1F"/>
          <w:highlight w:val="white"/>
        </w:rPr>
      </w:pPr>
    </w:p>
    <w:p w14:paraId="0AC913FA" w14:textId="77777777" w:rsidR="00063D8F" w:rsidRDefault="00063D8F">
      <w:pPr>
        <w:spacing w:after="0" w:line="276" w:lineRule="auto"/>
        <w:jc w:val="both"/>
      </w:pPr>
    </w:p>
    <w:p w14:paraId="0AC913FB" w14:textId="77777777" w:rsidR="00063D8F" w:rsidRDefault="00063D8F">
      <w:pPr>
        <w:spacing w:line="276" w:lineRule="auto"/>
        <w:jc w:val="both"/>
      </w:pPr>
    </w:p>
    <w:sectPr w:rsidR="00063D8F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19BB0" w14:textId="77777777" w:rsidR="00E128C6" w:rsidRDefault="00E128C6">
      <w:pPr>
        <w:spacing w:after="0" w:line="240" w:lineRule="auto"/>
      </w:pPr>
      <w:r>
        <w:separator/>
      </w:r>
    </w:p>
  </w:endnote>
  <w:endnote w:type="continuationSeparator" w:id="0">
    <w:p w14:paraId="59F5C9A3" w14:textId="77777777" w:rsidR="00E128C6" w:rsidRDefault="00E12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B8E18D-5E5B-4985-A5C5-F49C515FB7C1}"/>
    <w:embedBold r:id="rId2" w:fontKey="{F698963B-BD6F-4473-8FC2-D6105404B7A4}"/>
    <w:embedItalic r:id="rId3" w:fontKey="{E23BE140-0072-48BC-9416-97E22A121616}"/>
    <w:embedBoldItalic r:id="rId4" w:fontKey="{305EA2AA-B3E3-492E-B1E7-C2ED286697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63E7ED6-5815-4C9D-B169-16976A6A26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65A5245-33FC-4980-8CCA-70BBB00298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B89DD56-7179-42C1-A1D3-617662B89A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913FD" w14:textId="77777777" w:rsidR="00063D8F" w:rsidRDefault="009C6C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AC91400" wp14:editId="0AC91401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B2786" w14:textId="77777777" w:rsidR="00E128C6" w:rsidRDefault="00E128C6">
      <w:pPr>
        <w:spacing w:after="0" w:line="240" w:lineRule="auto"/>
      </w:pPr>
      <w:r>
        <w:separator/>
      </w:r>
    </w:p>
  </w:footnote>
  <w:footnote w:type="continuationSeparator" w:id="0">
    <w:p w14:paraId="2F26CBC1" w14:textId="77777777" w:rsidR="00E128C6" w:rsidRDefault="00E12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913FC" w14:textId="77777777" w:rsidR="00063D8F" w:rsidRDefault="009C6C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AC913FE" wp14:editId="0AC913FF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D8F"/>
    <w:rsid w:val="00063D8F"/>
    <w:rsid w:val="00187D0C"/>
    <w:rsid w:val="002E2C54"/>
    <w:rsid w:val="003535C9"/>
    <w:rsid w:val="00387FCF"/>
    <w:rsid w:val="005D4B9C"/>
    <w:rsid w:val="005F1639"/>
    <w:rsid w:val="009C6C15"/>
    <w:rsid w:val="00A148EA"/>
    <w:rsid w:val="00B20A14"/>
    <w:rsid w:val="00CB77C8"/>
    <w:rsid w:val="00E1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913C1"/>
  <w15:docId w15:val="{5BC12E17-8D77-40C2-8F0D-11D59CF5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CIOONnDcP6YQncyhvnwDG+qxXg==">CgMxLjA4AHIhMXk3NXNpMWxIYTJTemlvRzhyOS1zVk9wUVJzMGJrV3VI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1049</Words>
  <Characters>5982</Characters>
  <Application>Microsoft Office Word</Application>
  <DocSecurity>0</DocSecurity>
  <Lines>49</Lines>
  <Paragraphs>14</Paragraphs>
  <ScaleCrop>false</ScaleCrop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Eliana Esnaola</cp:lastModifiedBy>
  <cp:revision>10</cp:revision>
  <dcterms:created xsi:type="dcterms:W3CDTF">2025-10-30T17:50:00Z</dcterms:created>
  <dcterms:modified xsi:type="dcterms:W3CDTF">2026-02-28T17:44:00Z</dcterms:modified>
</cp:coreProperties>
</file>