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403FB" w14:textId="77777777" w:rsidR="00A65E2E" w:rsidRPr="00EE74EB" w:rsidRDefault="00A65E2E"/>
    <w:p w14:paraId="001FB369" w14:textId="77777777" w:rsidR="003309C8" w:rsidRPr="003309C8" w:rsidRDefault="003309C8" w:rsidP="003309C8">
      <w:pPr>
        <w:pStyle w:val="Ttulo2"/>
        <w:jc w:val="center"/>
        <w:rPr>
          <w:rFonts w:asciiTheme="minorHAnsi" w:eastAsia="Times New Roman" w:hAnsiTheme="minorHAnsi" w:cstheme="minorHAnsi"/>
          <w:b/>
          <w:bCs/>
          <w:color w:val="auto"/>
          <w:sz w:val="28"/>
          <w:szCs w:val="28"/>
          <w:lang/>
        </w:rPr>
      </w:pPr>
      <w:bookmarkStart w:id="0" w:name="AKRON_acompaña_una_nueva_edición_de_la_S"/>
      <w:bookmarkEnd w:id="0"/>
      <w:r w:rsidRPr="003309C8">
        <w:rPr>
          <w:rFonts w:asciiTheme="minorHAnsi" w:hAnsiTheme="minorHAnsi" w:cstheme="minorHAnsi"/>
          <w:b/>
          <w:bCs/>
          <w:color w:val="auto"/>
          <w:sz w:val="28"/>
          <w:szCs w:val="28"/>
        </w:rPr>
        <w:t>AKRON apuesta por más tecnología y eficiencia para la ganadería</w:t>
      </w:r>
    </w:p>
    <w:p w14:paraId="3C9D239C" w14:textId="05E9539D" w:rsidR="003309C8" w:rsidRPr="003309C8" w:rsidRDefault="003309C8" w:rsidP="003309C8">
      <w:pPr>
        <w:pStyle w:val="NormalWeb"/>
        <w:jc w:val="center"/>
        <w:rPr>
          <w:rFonts w:asciiTheme="minorHAnsi" w:hAnsiTheme="minorHAnsi" w:cstheme="minorHAnsi"/>
        </w:rPr>
      </w:pPr>
      <w:r w:rsidRPr="003309C8">
        <w:rPr>
          <w:rStyle w:val="Textoennegrita"/>
          <w:rFonts w:asciiTheme="minorHAnsi" w:hAnsiTheme="minorHAnsi" w:cstheme="minorHAnsi"/>
          <w:b w:val="0"/>
          <w:bCs w:val="0"/>
          <w:i/>
          <w:iCs/>
        </w:rPr>
        <w:t>La empresa presentará maquinaria y soluciones tecnológicas para acompañar las necesidades de productores y contratistas en la Semana Angus de Primavera Edición Banco Provincia, con la fuerza de Expoagro, que se realizará del 21 al 25 de septiembre en Cañuelas.</w:t>
      </w:r>
    </w:p>
    <w:p w14:paraId="736BE0B9" w14:textId="3C0A7B78" w:rsidR="003309C8" w:rsidRPr="003309C8" w:rsidRDefault="003309C8" w:rsidP="003309C8">
      <w:pPr>
        <w:pStyle w:val="Textoindependiente"/>
        <w:spacing w:line="276" w:lineRule="auto"/>
        <w:ind w:right="38"/>
        <w:rPr>
          <w:rFonts w:asciiTheme="minorHAnsi" w:hAnsiTheme="minorHAnsi" w:cstheme="minorHAnsi"/>
          <w:sz w:val="24"/>
          <w:szCs w:val="24"/>
        </w:rPr>
      </w:pPr>
      <w:r w:rsidRPr="003309C8">
        <w:rPr>
          <w:rFonts w:asciiTheme="minorHAnsi" w:hAnsiTheme="minorHAnsi" w:cstheme="minorHAnsi"/>
          <w:sz w:val="24"/>
          <w:szCs w:val="24"/>
        </w:rPr>
        <w:t>Como auspiciante of</w:t>
      </w:r>
      <w:r>
        <w:rPr>
          <w:rFonts w:asciiTheme="minorHAnsi" w:hAnsiTheme="minorHAnsi" w:cstheme="minorHAnsi"/>
          <w:sz w:val="24"/>
          <w:szCs w:val="24"/>
        </w:rPr>
        <w:t>i</w:t>
      </w:r>
      <w:r w:rsidRPr="003309C8">
        <w:rPr>
          <w:rFonts w:asciiTheme="minorHAnsi" w:hAnsiTheme="minorHAnsi" w:cstheme="minorHAnsi"/>
          <w:sz w:val="24"/>
          <w:szCs w:val="24"/>
        </w:rPr>
        <w:t xml:space="preserve">cial de esta nueva edición, </w:t>
      </w:r>
      <w:r w:rsidRPr="003309C8">
        <w:rPr>
          <w:rFonts w:asciiTheme="minorHAnsi" w:hAnsiTheme="minorHAnsi" w:cstheme="minorHAnsi"/>
          <w:b/>
          <w:bCs/>
          <w:sz w:val="24"/>
          <w:szCs w:val="24"/>
        </w:rPr>
        <w:t>AKRON</w:t>
      </w:r>
      <w:r w:rsidRPr="003309C8">
        <w:rPr>
          <w:rFonts w:asciiTheme="minorHAnsi" w:hAnsiTheme="minorHAnsi" w:cstheme="minorHAnsi"/>
          <w:sz w:val="24"/>
          <w:szCs w:val="24"/>
        </w:rPr>
        <w:t xml:space="preserve"> reafirma su compromiso con el desarrollo de la actividad ganadera y el estrecho vínculo que mantiene con la Asociación Argentina de Angus y </w:t>
      </w:r>
      <w:proofErr w:type="spellStart"/>
      <w:r w:rsidRPr="003309C8">
        <w:rPr>
          <w:rFonts w:asciiTheme="minorHAnsi" w:hAnsiTheme="minorHAnsi" w:cstheme="minorHAnsi"/>
          <w:sz w:val="24"/>
          <w:szCs w:val="24"/>
        </w:rPr>
        <w:t>Exponenci</w:t>
      </w:r>
      <w:r>
        <w:rPr>
          <w:rFonts w:asciiTheme="minorHAnsi" w:hAnsiTheme="minorHAnsi" w:cstheme="minorHAnsi"/>
          <w:sz w:val="24"/>
          <w:szCs w:val="24"/>
        </w:rPr>
        <w:t>ar</w:t>
      </w:r>
      <w:proofErr w:type="spellEnd"/>
      <w:r w:rsidRPr="003309C8">
        <w:rPr>
          <w:rFonts w:asciiTheme="minorHAnsi" w:hAnsiTheme="minorHAnsi" w:cstheme="minorHAnsi"/>
          <w:sz w:val="24"/>
          <w:szCs w:val="24"/>
        </w:rPr>
        <w:t>. Para AKRON, la Semana Angus de Primavera representa una</w:t>
      </w:r>
      <w:r w:rsidRPr="003309C8">
        <w:rPr>
          <w:rFonts w:asciiTheme="minorHAnsi" w:hAnsiTheme="minorHAnsi" w:cstheme="minorHAnsi"/>
          <w:spacing w:val="-5"/>
          <w:sz w:val="24"/>
          <w:szCs w:val="24"/>
        </w:rPr>
        <w:t xml:space="preserve"> </w:t>
      </w:r>
      <w:r w:rsidRPr="003309C8">
        <w:rPr>
          <w:rFonts w:asciiTheme="minorHAnsi" w:hAnsiTheme="minorHAnsi" w:cstheme="minorHAnsi"/>
          <w:sz w:val="24"/>
          <w:szCs w:val="24"/>
        </w:rPr>
        <w:t>nueva</w:t>
      </w:r>
      <w:r w:rsidRPr="003309C8">
        <w:rPr>
          <w:rFonts w:asciiTheme="minorHAnsi" w:hAnsiTheme="minorHAnsi" w:cstheme="minorHAnsi"/>
          <w:spacing w:val="-5"/>
          <w:sz w:val="24"/>
          <w:szCs w:val="24"/>
        </w:rPr>
        <w:t xml:space="preserve"> </w:t>
      </w:r>
      <w:r w:rsidRPr="003309C8">
        <w:rPr>
          <w:rFonts w:asciiTheme="minorHAnsi" w:hAnsiTheme="minorHAnsi" w:cstheme="minorHAnsi"/>
          <w:sz w:val="24"/>
          <w:szCs w:val="24"/>
        </w:rPr>
        <w:t>oportunidad</w:t>
      </w:r>
      <w:r w:rsidRPr="003309C8">
        <w:rPr>
          <w:rFonts w:asciiTheme="minorHAnsi" w:hAnsiTheme="minorHAnsi" w:cstheme="minorHAnsi"/>
          <w:spacing w:val="-5"/>
          <w:sz w:val="24"/>
          <w:szCs w:val="24"/>
        </w:rPr>
        <w:t xml:space="preserve"> </w:t>
      </w:r>
      <w:r w:rsidRPr="003309C8">
        <w:rPr>
          <w:rFonts w:asciiTheme="minorHAnsi" w:hAnsiTheme="minorHAnsi" w:cstheme="minorHAnsi"/>
          <w:sz w:val="24"/>
          <w:szCs w:val="24"/>
        </w:rPr>
        <w:t>para</w:t>
      </w:r>
      <w:r w:rsidRPr="003309C8">
        <w:rPr>
          <w:rFonts w:asciiTheme="minorHAnsi" w:hAnsiTheme="minorHAnsi" w:cstheme="minorHAnsi"/>
          <w:spacing w:val="-5"/>
          <w:sz w:val="24"/>
          <w:szCs w:val="24"/>
        </w:rPr>
        <w:t xml:space="preserve"> </w:t>
      </w:r>
      <w:r w:rsidRPr="003309C8">
        <w:rPr>
          <w:rFonts w:asciiTheme="minorHAnsi" w:hAnsiTheme="minorHAnsi" w:cstheme="minorHAnsi"/>
          <w:sz w:val="24"/>
          <w:szCs w:val="24"/>
        </w:rPr>
        <w:t>encontrarse</w:t>
      </w:r>
      <w:r w:rsidRPr="003309C8">
        <w:rPr>
          <w:rFonts w:asciiTheme="minorHAnsi" w:hAnsiTheme="minorHAnsi" w:cstheme="minorHAnsi"/>
          <w:spacing w:val="-5"/>
          <w:sz w:val="24"/>
          <w:szCs w:val="24"/>
        </w:rPr>
        <w:t xml:space="preserve"> </w:t>
      </w:r>
      <w:r w:rsidRPr="003309C8">
        <w:rPr>
          <w:rFonts w:asciiTheme="minorHAnsi" w:hAnsiTheme="minorHAnsi" w:cstheme="minorHAnsi"/>
          <w:sz w:val="24"/>
          <w:szCs w:val="24"/>
        </w:rPr>
        <w:t>con</w:t>
      </w:r>
      <w:r w:rsidRPr="003309C8">
        <w:rPr>
          <w:rFonts w:asciiTheme="minorHAnsi" w:hAnsiTheme="minorHAnsi" w:cstheme="minorHAnsi"/>
          <w:spacing w:val="-5"/>
          <w:sz w:val="24"/>
          <w:szCs w:val="24"/>
        </w:rPr>
        <w:t xml:space="preserve"> </w:t>
      </w:r>
      <w:r w:rsidRPr="003309C8">
        <w:rPr>
          <w:rFonts w:asciiTheme="minorHAnsi" w:hAnsiTheme="minorHAnsi" w:cstheme="minorHAnsi"/>
          <w:sz w:val="24"/>
          <w:szCs w:val="24"/>
        </w:rPr>
        <w:t>productores</w:t>
      </w:r>
      <w:r w:rsidRPr="003309C8">
        <w:rPr>
          <w:rFonts w:asciiTheme="minorHAnsi" w:hAnsiTheme="minorHAnsi" w:cstheme="minorHAnsi"/>
          <w:spacing w:val="-5"/>
          <w:sz w:val="24"/>
          <w:szCs w:val="24"/>
        </w:rPr>
        <w:t xml:space="preserve"> </w:t>
      </w:r>
      <w:r w:rsidRPr="003309C8">
        <w:rPr>
          <w:rFonts w:asciiTheme="minorHAnsi" w:hAnsiTheme="minorHAnsi" w:cstheme="minorHAnsi"/>
          <w:sz w:val="24"/>
          <w:szCs w:val="24"/>
        </w:rPr>
        <w:t>y</w:t>
      </w:r>
      <w:r w:rsidRPr="003309C8">
        <w:rPr>
          <w:rFonts w:asciiTheme="minorHAnsi" w:hAnsiTheme="minorHAnsi" w:cstheme="minorHAnsi"/>
          <w:spacing w:val="-5"/>
          <w:sz w:val="24"/>
          <w:szCs w:val="24"/>
        </w:rPr>
        <w:t xml:space="preserve"> </w:t>
      </w:r>
      <w:r w:rsidRPr="003309C8">
        <w:rPr>
          <w:rFonts w:asciiTheme="minorHAnsi" w:hAnsiTheme="minorHAnsi" w:cstheme="minorHAnsi"/>
          <w:sz w:val="24"/>
          <w:szCs w:val="24"/>
        </w:rPr>
        <w:t>referentes</w:t>
      </w:r>
      <w:r w:rsidRPr="003309C8">
        <w:rPr>
          <w:rFonts w:asciiTheme="minorHAnsi" w:hAnsiTheme="minorHAnsi" w:cstheme="minorHAnsi"/>
          <w:spacing w:val="-5"/>
          <w:sz w:val="24"/>
          <w:szCs w:val="24"/>
        </w:rPr>
        <w:t xml:space="preserve"> </w:t>
      </w:r>
      <w:r w:rsidRPr="003309C8">
        <w:rPr>
          <w:rFonts w:asciiTheme="minorHAnsi" w:hAnsiTheme="minorHAnsi" w:cstheme="minorHAnsi"/>
          <w:sz w:val="24"/>
          <w:szCs w:val="24"/>
        </w:rPr>
        <w:t>del</w:t>
      </w:r>
      <w:r w:rsidRPr="003309C8">
        <w:rPr>
          <w:rFonts w:asciiTheme="minorHAnsi" w:hAnsiTheme="minorHAnsi" w:cstheme="minorHAnsi"/>
          <w:spacing w:val="-5"/>
          <w:sz w:val="24"/>
          <w:szCs w:val="24"/>
        </w:rPr>
        <w:t xml:space="preserve"> </w:t>
      </w:r>
      <w:r w:rsidRPr="003309C8">
        <w:rPr>
          <w:rFonts w:asciiTheme="minorHAnsi" w:hAnsiTheme="minorHAnsi" w:cstheme="minorHAnsi"/>
          <w:sz w:val="24"/>
          <w:szCs w:val="24"/>
        </w:rPr>
        <w:t>sector, en un espacio que reúne genética, producción y tecnología aplicada a la ganadería.</w:t>
      </w:r>
    </w:p>
    <w:p w14:paraId="0C991D3C" w14:textId="6A411CFB" w:rsidR="003309C8" w:rsidRPr="003309C8" w:rsidRDefault="003309C8" w:rsidP="003309C8">
      <w:pPr>
        <w:pStyle w:val="Textoindependiente"/>
        <w:spacing w:line="276" w:lineRule="auto"/>
        <w:rPr>
          <w:rFonts w:asciiTheme="minorHAnsi" w:hAnsiTheme="minorHAnsi" w:cstheme="minorHAnsi"/>
          <w:sz w:val="24"/>
          <w:szCs w:val="24"/>
        </w:rPr>
      </w:pPr>
      <w:r>
        <w:rPr>
          <w:rFonts w:asciiTheme="minorHAnsi" w:hAnsiTheme="minorHAnsi" w:cstheme="minorHAnsi"/>
          <w:sz w:val="24"/>
          <w:szCs w:val="24"/>
        </w:rPr>
        <w:t>La empresa</w:t>
      </w:r>
      <w:r w:rsidRPr="003309C8">
        <w:rPr>
          <w:rFonts w:asciiTheme="minorHAnsi" w:hAnsiTheme="minorHAnsi" w:cstheme="minorHAnsi"/>
          <w:sz w:val="24"/>
          <w:szCs w:val="24"/>
        </w:rPr>
        <w:t xml:space="preserve"> exhibirá el </w:t>
      </w:r>
      <w:r w:rsidRPr="003309C8">
        <w:rPr>
          <w:rFonts w:asciiTheme="minorHAnsi" w:hAnsiTheme="minorHAnsi" w:cstheme="minorHAnsi"/>
          <w:b/>
          <w:sz w:val="24"/>
          <w:szCs w:val="24"/>
        </w:rPr>
        <w:t>Esparcidor de Enmienda Orgánica EE2018</w:t>
      </w:r>
      <w:r w:rsidRPr="003309C8">
        <w:rPr>
          <w:rFonts w:asciiTheme="minorHAnsi" w:hAnsiTheme="minorHAnsi" w:cstheme="minorHAnsi"/>
          <w:sz w:val="24"/>
          <w:szCs w:val="24"/>
        </w:rPr>
        <w:t>, la versión de mayor capacidad de la línea (18 m³). Equipado con un sistema de acarreo a cadena de</w:t>
      </w:r>
      <w:r w:rsidRPr="003309C8">
        <w:rPr>
          <w:rFonts w:asciiTheme="minorHAnsi" w:hAnsiTheme="minorHAnsi" w:cstheme="minorHAnsi"/>
          <w:spacing w:val="-3"/>
          <w:sz w:val="24"/>
          <w:szCs w:val="24"/>
        </w:rPr>
        <w:t xml:space="preserve"> </w:t>
      </w:r>
      <w:r w:rsidRPr="003309C8">
        <w:rPr>
          <w:rFonts w:asciiTheme="minorHAnsi" w:hAnsiTheme="minorHAnsi" w:cstheme="minorHAnsi"/>
          <w:sz w:val="24"/>
          <w:szCs w:val="24"/>
        </w:rPr>
        <w:t xml:space="preserve">velocidad variable, este modelo garantiza un esparcido progresivo y uniforme, respondiendo a la creciente demanda de los establecimientos ganaderos en el manejo eficiente de efluentes. Su desarrollo refleja la evolución constante de una familia de equipos en la que AKRON viene trabajando desde hace años, adaptándose a las necesidades reales de los </w:t>
      </w:r>
      <w:r w:rsidRPr="003309C8">
        <w:rPr>
          <w:rFonts w:asciiTheme="minorHAnsi" w:hAnsiTheme="minorHAnsi" w:cstheme="minorHAnsi"/>
          <w:spacing w:val="-2"/>
          <w:sz w:val="24"/>
          <w:szCs w:val="24"/>
        </w:rPr>
        <w:t>productores.</w:t>
      </w:r>
    </w:p>
    <w:p w14:paraId="69033C5E" w14:textId="77777777" w:rsidR="003309C8" w:rsidRPr="003309C8" w:rsidRDefault="003309C8" w:rsidP="003309C8">
      <w:pPr>
        <w:pStyle w:val="Textoindependiente"/>
        <w:spacing w:line="276" w:lineRule="auto"/>
        <w:rPr>
          <w:rFonts w:asciiTheme="minorHAnsi" w:hAnsiTheme="minorHAnsi" w:cstheme="minorHAnsi"/>
          <w:sz w:val="24"/>
          <w:szCs w:val="24"/>
        </w:rPr>
      </w:pPr>
      <w:r w:rsidRPr="003309C8">
        <w:rPr>
          <w:rFonts w:asciiTheme="minorHAnsi" w:hAnsiTheme="minorHAnsi" w:cstheme="minorHAnsi"/>
          <w:sz w:val="24"/>
          <w:szCs w:val="24"/>
        </w:rPr>
        <w:t xml:space="preserve">La propuesta se complementará con la presencia del </w:t>
      </w:r>
      <w:r w:rsidRPr="003309C8">
        <w:rPr>
          <w:rFonts w:asciiTheme="minorHAnsi" w:hAnsiTheme="minorHAnsi" w:cstheme="minorHAnsi"/>
          <w:b/>
          <w:sz w:val="24"/>
          <w:szCs w:val="24"/>
        </w:rPr>
        <w:t>DJI Agras T55</w:t>
      </w:r>
      <w:r w:rsidRPr="003309C8">
        <w:rPr>
          <w:rFonts w:asciiTheme="minorHAnsi" w:hAnsiTheme="minorHAnsi" w:cstheme="minorHAnsi"/>
          <w:sz w:val="24"/>
          <w:szCs w:val="24"/>
        </w:rPr>
        <w:t>, uno de los últimos desarrollos de DJI en tecnología de drones agrícolas. Su incorporación permite ampliar las herramientas disponibles para el productor, facilitando la aplicación de productos y el desarrollo de tareas con mayor precisión y eficiencia.</w:t>
      </w:r>
    </w:p>
    <w:p w14:paraId="3C2FDD7B" w14:textId="77777777" w:rsidR="003309C8" w:rsidRPr="003309C8" w:rsidRDefault="003309C8" w:rsidP="003309C8">
      <w:pPr>
        <w:spacing w:before="240" w:line="276" w:lineRule="auto"/>
        <w:ind w:left="23" w:right="38"/>
        <w:jc w:val="both"/>
        <w:rPr>
          <w:rFonts w:asciiTheme="minorHAnsi" w:hAnsiTheme="minorHAnsi" w:cstheme="minorHAnsi"/>
          <w:sz w:val="24"/>
          <w:szCs w:val="24"/>
        </w:rPr>
      </w:pPr>
      <w:r w:rsidRPr="003309C8">
        <w:rPr>
          <w:rFonts w:asciiTheme="minorHAnsi" w:hAnsiTheme="minorHAnsi" w:cstheme="minorHAnsi"/>
          <w:sz w:val="24"/>
          <w:szCs w:val="24"/>
        </w:rPr>
        <w:t>La oferta de AKRON para el sector ganadero se completa con una amplia gama de maquinaria</w:t>
      </w:r>
      <w:r w:rsidRPr="003309C8">
        <w:rPr>
          <w:rFonts w:asciiTheme="minorHAnsi" w:hAnsiTheme="minorHAnsi" w:cstheme="minorHAnsi"/>
          <w:spacing w:val="-6"/>
          <w:sz w:val="24"/>
          <w:szCs w:val="24"/>
        </w:rPr>
        <w:t xml:space="preserve"> </w:t>
      </w:r>
      <w:r w:rsidRPr="003309C8">
        <w:rPr>
          <w:rFonts w:asciiTheme="minorHAnsi" w:hAnsiTheme="minorHAnsi" w:cstheme="minorHAnsi"/>
          <w:sz w:val="24"/>
          <w:szCs w:val="24"/>
        </w:rPr>
        <w:t>de</w:t>
      </w:r>
      <w:r w:rsidRPr="003309C8">
        <w:rPr>
          <w:rFonts w:asciiTheme="minorHAnsi" w:hAnsiTheme="minorHAnsi" w:cstheme="minorHAnsi"/>
          <w:spacing w:val="-6"/>
          <w:sz w:val="24"/>
          <w:szCs w:val="24"/>
        </w:rPr>
        <w:t xml:space="preserve"> </w:t>
      </w:r>
      <w:r w:rsidRPr="003309C8">
        <w:rPr>
          <w:rFonts w:asciiTheme="minorHAnsi" w:hAnsiTheme="minorHAnsi" w:cstheme="minorHAnsi"/>
          <w:sz w:val="24"/>
          <w:szCs w:val="24"/>
        </w:rPr>
        <w:t>fabricación</w:t>
      </w:r>
      <w:r w:rsidRPr="003309C8">
        <w:rPr>
          <w:rFonts w:asciiTheme="minorHAnsi" w:hAnsiTheme="minorHAnsi" w:cstheme="minorHAnsi"/>
          <w:spacing w:val="-6"/>
          <w:sz w:val="24"/>
          <w:szCs w:val="24"/>
        </w:rPr>
        <w:t xml:space="preserve"> </w:t>
      </w:r>
      <w:r w:rsidRPr="003309C8">
        <w:rPr>
          <w:rFonts w:asciiTheme="minorHAnsi" w:hAnsiTheme="minorHAnsi" w:cstheme="minorHAnsi"/>
          <w:sz w:val="24"/>
          <w:szCs w:val="24"/>
        </w:rPr>
        <w:t>propia,</w:t>
      </w:r>
      <w:r w:rsidRPr="003309C8">
        <w:rPr>
          <w:rFonts w:asciiTheme="minorHAnsi" w:hAnsiTheme="minorHAnsi" w:cstheme="minorHAnsi"/>
          <w:spacing w:val="-6"/>
          <w:sz w:val="24"/>
          <w:szCs w:val="24"/>
        </w:rPr>
        <w:t xml:space="preserve"> </w:t>
      </w:r>
      <w:r w:rsidRPr="003309C8">
        <w:rPr>
          <w:rFonts w:asciiTheme="minorHAnsi" w:hAnsiTheme="minorHAnsi" w:cstheme="minorHAnsi"/>
          <w:sz w:val="24"/>
          <w:szCs w:val="24"/>
        </w:rPr>
        <w:t>que</w:t>
      </w:r>
      <w:r w:rsidRPr="003309C8">
        <w:rPr>
          <w:rFonts w:asciiTheme="minorHAnsi" w:hAnsiTheme="minorHAnsi" w:cstheme="minorHAnsi"/>
          <w:spacing w:val="-6"/>
          <w:sz w:val="24"/>
          <w:szCs w:val="24"/>
        </w:rPr>
        <w:t xml:space="preserve"> </w:t>
      </w:r>
      <w:r w:rsidRPr="003309C8">
        <w:rPr>
          <w:rFonts w:asciiTheme="minorHAnsi" w:hAnsiTheme="minorHAnsi" w:cstheme="minorHAnsi"/>
          <w:sz w:val="24"/>
          <w:szCs w:val="24"/>
        </w:rPr>
        <w:t>incluye</w:t>
      </w:r>
      <w:r w:rsidRPr="003309C8">
        <w:rPr>
          <w:rFonts w:asciiTheme="minorHAnsi" w:hAnsiTheme="minorHAnsi" w:cstheme="minorHAnsi"/>
          <w:spacing w:val="-6"/>
          <w:sz w:val="24"/>
          <w:szCs w:val="24"/>
        </w:rPr>
        <w:t xml:space="preserve"> </w:t>
      </w:r>
      <w:proofErr w:type="spellStart"/>
      <w:r w:rsidRPr="003309C8">
        <w:rPr>
          <w:rFonts w:asciiTheme="minorHAnsi" w:hAnsiTheme="minorHAnsi" w:cstheme="minorHAnsi"/>
          <w:b/>
          <w:sz w:val="24"/>
          <w:szCs w:val="24"/>
        </w:rPr>
        <w:t>Mixers</w:t>
      </w:r>
      <w:proofErr w:type="spellEnd"/>
      <w:r w:rsidRPr="003309C8">
        <w:rPr>
          <w:rFonts w:asciiTheme="minorHAnsi" w:hAnsiTheme="minorHAnsi" w:cstheme="minorHAnsi"/>
          <w:b/>
          <w:spacing w:val="-6"/>
          <w:sz w:val="24"/>
          <w:szCs w:val="24"/>
        </w:rPr>
        <w:t xml:space="preserve"> </w:t>
      </w:r>
      <w:r w:rsidRPr="003309C8">
        <w:rPr>
          <w:rFonts w:asciiTheme="minorHAnsi" w:hAnsiTheme="minorHAnsi" w:cstheme="minorHAnsi"/>
          <w:b/>
          <w:sz w:val="24"/>
          <w:szCs w:val="24"/>
        </w:rPr>
        <w:t>Verticales,</w:t>
      </w:r>
      <w:r w:rsidRPr="003309C8">
        <w:rPr>
          <w:rFonts w:asciiTheme="minorHAnsi" w:hAnsiTheme="minorHAnsi" w:cstheme="minorHAnsi"/>
          <w:b/>
          <w:spacing w:val="-6"/>
          <w:sz w:val="24"/>
          <w:szCs w:val="24"/>
        </w:rPr>
        <w:t xml:space="preserve"> </w:t>
      </w:r>
      <w:r w:rsidRPr="003309C8">
        <w:rPr>
          <w:rFonts w:asciiTheme="minorHAnsi" w:hAnsiTheme="minorHAnsi" w:cstheme="minorHAnsi"/>
          <w:b/>
          <w:sz w:val="24"/>
          <w:szCs w:val="24"/>
        </w:rPr>
        <w:t>Cajas</w:t>
      </w:r>
      <w:r w:rsidRPr="003309C8">
        <w:rPr>
          <w:rFonts w:asciiTheme="minorHAnsi" w:hAnsiTheme="minorHAnsi" w:cstheme="minorHAnsi"/>
          <w:b/>
          <w:spacing w:val="-6"/>
          <w:sz w:val="24"/>
          <w:szCs w:val="24"/>
        </w:rPr>
        <w:t xml:space="preserve"> </w:t>
      </w:r>
      <w:r w:rsidRPr="003309C8">
        <w:rPr>
          <w:rFonts w:asciiTheme="minorHAnsi" w:hAnsiTheme="minorHAnsi" w:cstheme="minorHAnsi"/>
          <w:b/>
          <w:sz w:val="24"/>
          <w:szCs w:val="24"/>
        </w:rPr>
        <w:t>Compactadoras</w:t>
      </w:r>
      <w:r w:rsidRPr="003309C8">
        <w:rPr>
          <w:rFonts w:asciiTheme="minorHAnsi" w:hAnsiTheme="minorHAnsi" w:cstheme="minorHAnsi"/>
          <w:b/>
          <w:spacing w:val="-6"/>
          <w:sz w:val="24"/>
          <w:szCs w:val="24"/>
        </w:rPr>
        <w:t xml:space="preserve"> </w:t>
      </w:r>
      <w:r w:rsidRPr="003309C8">
        <w:rPr>
          <w:rFonts w:asciiTheme="minorHAnsi" w:hAnsiTheme="minorHAnsi" w:cstheme="minorHAnsi"/>
          <w:b/>
          <w:sz w:val="24"/>
          <w:szCs w:val="24"/>
        </w:rPr>
        <w:t>de Forrajes y Acoplados Forrajeros</w:t>
      </w:r>
      <w:r w:rsidRPr="003309C8">
        <w:rPr>
          <w:rFonts w:asciiTheme="minorHAnsi" w:hAnsiTheme="minorHAnsi" w:cstheme="minorHAnsi"/>
          <w:sz w:val="24"/>
          <w:szCs w:val="24"/>
        </w:rPr>
        <w:t xml:space="preserve">. Además, complementa su oferta con </w:t>
      </w:r>
      <w:r w:rsidRPr="003309C8">
        <w:rPr>
          <w:rFonts w:asciiTheme="minorHAnsi" w:hAnsiTheme="minorHAnsi" w:cstheme="minorHAnsi"/>
          <w:b/>
          <w:sz w:val="24"/>
          <w:szCs w:val="24"/>
        </w:rPr>
        <w:t xml:space="preserve">Tractores Japoneses Kubota, Palas Cargadoras Frontales </w:t>
      </w:r>
      <w:proofErr w:type="spellStart"/>
      <w:r w:rsidRPr="003309C8">
        <w:rPr>
          <w:rFonts w:asciiTheme="minorHAnsi" w:hAnsiTheme="minorHAnsi" w:cstheme="minorHAnsi"/>
          <w:b/>
          <w:sz w:val="24"/>
          <w:szCs w:val="24"/>
        </w:rPr>
        <w:t>Terraplane</w:t>
      </w:r>
      <w:proofErr w:type="spellEnd"/>
      <w:r w:rsidRPr="003309C8">
        <w:rPr>
          <w:rFonts w:asciiTheme="minorHAnsi" w:hAnsiTheme="minorHAnsi" w:cstheme="minorHAnsi"/>
          <w:b/>
          <w:sz w:val="24"/>
          <w:szCs w:val="24"/>
        </w:rPr>
        <w:t xml:space="preserve"> </w:t>
      </w:r>
      <w:r w:rsidRPr="003309C8">
        <w:rPr>
          <w:rFonts w:asciiTheme="minorHAnsi" w:hAnsiTheme="minorHAnsi" w:cstheme="minorHAnsi"/>
          <w:sz w:val="24"/>
          <w:szCs w:val="24"/>
        </w:rPr>
        <w:t xml:space="preserve">y toda la línea de </w:t>
      </w:r>
      <w:r w:rsidRPr="003309C8">
        <w:rPr>
          <w:rFonts w:asciiTheme="minorHAnsi" w:hAnsiTheme="minorHAnsi" w:cstheme="minorHAnsi"/>
          <w:b/>
          <w:sz w:val="24"/>
          <w:szCs w:val="24"/>
        </w:rPr>
        <w:t xml:space="preserve">Drones DJI </w:t>
      </w:r>
      <w:r w:rsidRPr="003309C8">
        <w:rPr>
          <w:rFonts w:asciiTheme="minorHAnsi" w:hAnsiTheme="minorHAnsi" w:cstheme="minorHAnsi"/>
          <w:sz w:val="24"/>
          <w:szCs w:val="24"/>
        </w:rPr>
        <w:t>para la agricultura.</w:t>
      </w:r>
    </w:p>
    <w:p w14:paraId="135090C7" w14:textId="77777777" w:rsidR="003309C8" w:rsidRPr="003309C8" w:rsidRDefault="003309C8" w:rsidP="003309C8">
      <w:pPr>
        <w:spacing w:before="240" w:line="276" w:lineRule="auto"/>
        <w:ind w:left="23" w:right="36"/>
        <w:jc w:val="both"/>
        <w:rPr>
          <w:rFonts w:asciiTheme="minorHAnsi" w:hAnsiTheme="minorHAnsi" w:cstheme="minorHAnsi"/>
          <w:sz w:val="24"/>
          <w:szCs w:val="24"/>
        </w:rPr>
      </w:pPr>
      <w:r w:rsidRPr="003309C8">
        <w:rPr>
          <w:rFonts w:asciiTheme="minorHAnsi" w:hAnsiTheme="minorHAnsi" w:cstheme="minorHAnsi"/>
          <w:sz w:val="24"/>
          <w:szCs w:val="24"/>
        </w:rPr>
        <w:t xml:space="preserve">Quienes se acerquen al stand podrán conocer la propuesta de AKRON y recibir asesoramiento técnico y comercial. La empresa cuenta con </w:t>
      </w:r>
      <w:r w:rsidRPr="003309C8">
        <w:rPr>
          <w:rFonts w:asciiTheme="minorHAnsi" w:hAnsiTheme="minorHAnsi" w:cstheme="minorHAnsi"/>
          <w:b/>
          <w:sz w:val="24"/>
          <w:szCs w:val="24"/>
        </w:rPr>
        <w:t>financiación de fábrica, opciones de canje de cereal y convenios con entidades bancarias</w:t>
      </w:r>
      <w:r w:rsidRPr="003309C8">
        <w:rPr>
          <w:rFonts w:asciiTheme="minorHAnsi" w:hAnsiTheme="minorHAnsi" w:cstheme="minorHAnsi"/>
          <w:sz w:val="24"/>
          <w:szCs w:val="24"/>
        </w:rPr>
        <w:t xml:space="preserve">, además de un beneficio exclusivo para socios Angus, quienes podrán acceder a un </w:t>
      </w:r>
      <w:r w:rsidRPr="003309C8">
        <w:rPr>
          <w:rFonts w:asciiTheme="minorHAnsi" w:hAnsiTheme="minorHAnsi" w:cstheme="minorHAnsi"/>
          <w:b/>
          <w:sz w:val="24"/>
          <w:szCs w:val="24"/>
        </w:rPr>
        <w:t>5% de</w:t>
      </w:r>
      <w:r w:rsidRPr="003309C8">
        <w:rPr>
          <w:rFonts w:asciiTheme="minorHAnsi" w:hAnsiTheme="minorHAnsi" w:cstheme="minorHAnsi"/>
          <w:b/>
          <w:spacing w:val="-3"/>
          <w:sz w:val="24"/>
          <w:szCs w:val="24"/>
        </w:rPr>
        <w:t xml:space="preserve"> </w:t>
      </w:r>
      <w:r w:rsidRPr="003309C8">
        <w:rPr>
          <w:rFonts w:asciiTheme="minorHAnsi" w:hAnsiTheme="minorHAnsi" w:cstheme="minorHAnsi"/>
          <w:b/>
          <w:sz w:val="24"/>
          <w:szCs w:val="24"/>
        </w:rPr>
        <w:t>descuento</w:t>
      </w:r>
      <w:r w:rsidRPr="003309C8">
        <w:rPr>
          <w:rFonts w:asciiTheme="minorHAnsi" w:hAnsiTheme="minorHAnsi" w:cstheme="minorHAnsi"/>
          <w:b/>
          <w:spacing w:val="-3"/>
          <w:sz w:val="24"/>
          <w:szCs w:val="24"/>
        </w:rPr>
        <w:t xml:space="preserve"> </w:t>
      </w:r>
      <w:r w:rsidRPr="003309C8">
        <w:rPr>
          <w:rFonts w:asciiTheme="minorHAnsi" w:hAnsiTheme="minorHAnsi" w:cstheme="minorHAnsi"/>
          <w:b/>
          <w:sz w:val="24"/>
          <w:szCs w:val="24"/>
        </w:rPr>
        <w:t>en productos AKRON</w:t>
      </w:r>
      <w:r w:rsidRPr="003309C8">
        <w:rPr>
          <w:rFonts w:asciiTheme="minorHAnsi" w:hAnsiTheme="minorHAnsi" w:cstheme="minorHAnsi"/>
          <w:sz w:val="24"/>
          <w:szCs w:val="24"/>
        </w:rPr>
        <w:t>.</w:t>
      </w:r>
    </w:p>
    <w:p w14:paraId="14CED4A6" w14:textId="77777777" w:rsidR="003309C8" w:rsidRPr="003309C8" w:rsidRDefault="003309C8" w:rsidP="003309C8">
      <w:pPr>
        <w:pStyle w:val="Textoindependiente"/>
        <w:spacing w:line="276" w:lineRule="auto"/>
        <w:ind w:right="43"/>
        <w:rPr>
          <w:rFonts w:asciiTheme="minorHAnsi" w:hAnsiTheme="minorHAnsi" w:cstheme="minorHAnsi"/>
          <w:sz w:val="24"/>
          <w:szCs w:val="24"/>
        </w:rPr>
      </w:pPr>
      <w:r w:rsidRPr="003309C8">
        <w:rPr>
          <w:rFonts w:asciiTheme="minorHAnsi" w:hAnsiTheme="minorHAnsi" w:cstheme="minorHAnsi"/>
          <w:sz w:val="24"/>
          <w:szCs w:val="24"/>
        </w:rPr>
        <w:t xml:space="preserve">Con su participación en esta nueva edición de la Semana Angus de Primavera, AKRON continúa fortaleciendo su vínculo con el sector ganadero y acompañando a productores </w:t>
      </w:r>
      <w:r w:rsidRPr="003309C8">
        <w:rPr>
          <w:rFonts w:asciiTheme="minorHAnsi" w:hAnsiTheme="minorHAnsi" w:cstheme="minorHAnsi"/>
          <w:sz w:val="24"/>
          <w:szCs w:val="24"/>
        </w:rPr>
        <w:lastRenderedPageBreak/>
        <w:t>y contratistas con maquinaria, tecnología y respaldo posventa, ofreciendo soluciones pensadas para las distintas etapas de la actividad agropecuaria.</w:t>
      </w:r>
    </w:p>
    <w:p w14:paraId="238B1E7B" w14:textId="77777777" w:rsidR="00304E8C" w:rsidRPr="003309C8" w:rsidRDefault="00304E8C">
      <w:pPr>
        <w:rPr>
          <w:rFonts w:asciiTheme="minorHAnsi" w:hAnsiTheme="minorHAnsi" w:cstheme="minorHAnsi"/>
          <w:sz w:val="24"/>
          <w:szCs w:val="24"/>
        </w:rPr>
      </w:pPr>
    </w:p>
    <w:sectPr w:rsidR="00304E8C" w:rsidRPr="003309C8" w:rsidSect="00E728E0">
      <w:headerReference w:type="default" r:id="rId6"/>
      <w:footerReference w:type="default" r:id="rId7"/>
      <w:pgSz w:w="11907" w:h="16839" w:code="9"/>
      <w:pgMar w:top="1417"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BB25D" w14:textId="77777777" w:rsidR="006117FD" w:rsidRDefault="006117FD" w:rsidP="00E728E0">
      <w:r>
        <w:separator/>
      </w:r>
    </w:p>
  </w:endnote>
  <w:endnote w:type="continuationSeparator" w:id="0">
    <w:p w14:paraId="3C1E1C92" w14:textId="77777777" w:rsidR="006117FD" w:rsidRDefault="006117FD" w:rsidP="00E72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43E05" w14:textId="4C45C2E1" w:rsidR="00E728E0" w:rsidRDefault="00304E8C" w:rsidP="00E728E0">
    <w:pPr>
      <w:pStyle w:val="Piedepgina"/>
      <w:ind w:left="-1701"/>
    </w:pPr>
    <w:r>
      <w:rPr>
        <w:noProof/>
        <w:lang w:eastAsia="es-AR"/>
      </w:rPr>
      <w:drawing>
        <wp:inline distT="0" distB="0" distL="0" distR="0" wp14:anchorId="2B520B5B" wp14:editId="56AA5E50">
          <wp:extent cx="7649603" cy="269986"/>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649603" cy="26998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107B8" w14:textId="77777777" w:rsidR="006117FD" w:rsidRDefault="006117FD" w:rsidP="00E728E0">
      <w:r>
        <w:separator/>
      </w:r>
    </w:p>
  </w:footnote>
  <w:footnote w:type="continuationSeparator" w:id="0">
    <w:p w14:paraId="206D1E7E" w14:textId="77777777" w:rsidR="006117FD" w:rsidRDefault="006117FD" w:rsidP="00E72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9872B" w14:textId="1A25FF4C" w:rsidR="00E728E0" w:rsidRDefault="00F04603" w:rsidP="00E728E0">
    <w:pPr>
      <w:pStyle w:val="Encabezado"/>
      <w:ind w:left="-1701"/>
    </w:pPr>
    <w:r>
      <w:rPr>
        <w:noProof/>
      </w:rPr>
      <w:drawing>
        <wp:inline distT="0" distB="0" distL="0" distR="0" wp14:anchorId="3EBFD715" wp14:editId="6D601C61">
          <wp:extent cx="7638896" cy="123456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638896" cy="12345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8E0"/>
    <w:rsid w:val="00012698"/>
    <w:rsid w:val="00057B52"/>
    <w:rsid w:val="00071E7E"/>
    <w:rsid w:val="00077EA7"/>
    <w:rsid w:val="00117812"/>
    <w:rsid w:val="00133D94"/>
    <w:rsid w:val="00152E94"/>
    <w:rsid w:val="0023622E"/>
    <w:rsid w:val="00304E8C"/>
    <w:rsid w:val="003066A3"/>
    <w:rsid w:val="003309C8"/>
    <w:rsid w:val="003469FF"/>
    <w:rsid w:val="003A46E4"/>
    <w:rsid w:val="003D6B52"/>
    <w:rsid w:val="00401C72"/>
    <w:rsid w:val="00407DC9"/>
    <w:rsid w:val="004D3374"/>
    <w:rsid w:val="005A2DD9"/>
    <w:rsid w:val="005B4E0C"/>
    <w:rsid w:val="005D7C52"/>
    <w:rsid w:val="006117FD"/>
    <w:rsid w:val="00641EC9"/>
    <w:rsid w:val="00690C49"/>
    <w:rsid w:val="00697E80"/>
    <w:rsid w:val="006B2CCA"/>
    <w:rsid w:val="006D6E48"/>
    <w:rsid w:val="00760D1F"/>
    <w:rsid w:val="00794D9F"/>
    <w:rsid w:val="007B5323"/>
    <w:rsid w:val="007F5EAC"/>
    <w:rsid w:val="0082466E"/>
    <w:rsid w:val="0085148C"/>
    <w:rsid w:val="00864B80"/>
    <w:rsid w:val="00885C10"/>
    <w:rsid w:val="008D7D65"/>
    <w:rsid w:val="00960111"/>
    <w:rsid w:val="009A401E"/>
    <w:rsid w:val="00A2497E"/>
    <w:rsid w:val="00A46A9F"/>
    <w:rsid w:val="00A65E2E"/>
    <w:rsid w:val="00A758F3"/>
    <w:rsid w:val="00A86251"/>
    <w:rsid w:val="00B361C8"/>
    <w:rsid w:val="00B76558"/>
    <w:rsid w:val="00C94227"/>
    <w:rsid w:val="00D44200"/>
    <w:rsid w:val="00D512C0"/>
    <w:rsid w:val="00D60DE9"/>
    <w:rsid w:val="00E25E6B"/>
    <w:rsid w:val="00E367DC"/>
    <w:rsid w:val="00E728E0"/>
    <w:rsid w:val="00E7315D"/>
    <w:rsid w:val="00ED36B6"/>
    <w:rsid w:val="00EE6A97"/>
    <w:rsid w:val="00EE74EB"/>
    <w:rsid w:val="00F02CDD"/>
    <w:rsid w:val="00F04603"/>
    <w:rsid w:val="00F4647F"/>
    <w:rsid w:val="00F94131"/>
    <w:rsid w:val="00FB4770"/>
    <w:rsid w:val="00FD41F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6CE32"/>
  <w15:docId w15:val="{3920392D-560D-3442-9103-F7C734C3D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9C8"/>
    <w:pPr>
      <w:widowControl w:val="0"/>
      <w:autoSpaceDE w:val="0"/>
      <w:autoSpaceDN w:val="0"/>
      <w:spacing w:after="0" w:line="240" w:lineRule="auto"/>
    </w:pPr>
    <w:rPr>
      <w:rFonts w:ascii="Arial MT" w:eastAsia="Arial MT" w:hAnsi="Arial MT" w:cs="Arial MT"/>
      <w:lang w:val="es-ES"/>
    </w:rPr>
  </w:style>
  <w:style w:type="paragraph" w:styleId="Ttulo1">
    <w:name w:val="heading 1"/>
    <w:basedOn w:val="Normal"/>
    <w:link w:val="Ttulo1Car"/>
    <w:uiPriority w:val="9"/>
    <w:qFormat/>
    <w:rsid w:val="003309C8"/>
    <w:pPr>
      <w:spacing w:before="60"/>
      <w:ind w:left="23" w:right="48"/>
      <w:jc w:val="both"/>
      <w:outlineLvl w:val="0"/>
    </w:pPr>
    <w:rPr>
      <w:rFonts w:ascii="Arial" w:eastAsia="Arial" w:hAnsi="Arial" w:cs="Arial"/>
      <w:b/>
      <w:bCs/>
      <w:sz w:val="46"/>
      <w:szCs w:val="46"/>
    </w:rPr>
  </w:style>
  <w:style w:type="paragraph" w:styleId="Ttulo2">
    <w:name w:val="heading 2"/>
    <w:basedOn w:val="Normal"/>
    <w:next w:val="Normal"/>
    <w:link w:val="Ttulo2Car"/>
    <w:uiPriority w:val="9"/>
    <w:semiHidden/>
    <w:unhideWhenUsed/>
    <w:qFormat/>
    <w:rsid w:val="003309C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28E0"/>
    <w:pPr>
      <w:widowControl/>
      <w:tabs>
        <w:tab w:val="center" w:pos="4419"/>
        <w:tab w:val="right" w:pos="8838"/>
      </w:tabs>
      <w:autoSpaceDE/>
      <w:autoSpaceDN/>
    </w:pPr>
    <w:rPr>
      <w:rFonts w:asciiTheme="minorHAnsi" w:eastAsiaTheme="minorHAnsi" w:hAnsiTheme="minorHAnsi" w:cstheme="minorBidi"/>
      <w:lang w:val="es-AR"/>
    </w:rPr>
  </w:style>
  <w:style w:type="character" w:customStyle="1" w:styleId="EncabezadoCar">
    <w:name w:val="Encabezado Car"/>
    <w:basedOn w:val="Fuentedeprrafopredeter"/>
    <w:link w:val="Encabezado"/>
    <w:uiPriority w:val="99"/>
    <w:rsid w:val="00E728E0"/>
  </w:style>
  <w:style w:type="paragraph" w:styleId="Piedepgina">
    <w:name w:val="footer"/>
    <w:basedOn w:val="Normal"/>
    <w:link w:val="PiedepginaCar"/>
    <w:uiPriority w:val="99"/>
    <w:unhideWhenUsed/>
    <w:rsid w:val="00E728E0"/>
    <w:pPr>
      <w:widowControl/>
      <w:tabs>
        <w:tab w:val="center" w:pos="4419"/>
        <w:tab w:val="right" w:pos="8838"/>
      </w:tabs>
      <w:autoSpaceDE/>
      <w:autoSpaceDN/>
    </w:pPr>
    <w:rPr>
      <w:rFonts w:asciiTheme="minorHAnsi" w:eastAsiaTheme="minorHAnsi" w:hAnsiTheme="minorHAnsi" w:cstheme="minorBidi"/>
      <w:lang w:val="es-AR"/>
    </w:rPr>
  </w:style>
  <w:style w:type="character" w:customStyle="1" w:styleId="PiedepginaCar">
    <w:name w:val="Pie de página Car"/>
    <w:basedOn w:val="Fuentedeprrafopredeter"/>
    <w:link w:val="Piedepgina"/>
    <w:uiPriority w:val="99"/>
    <w:rsid w:val="00E728E0"/>
  </w:style>
  <w:style w:type="paragraph" w:styleId="Textodeglobo">
    <w:name w:val="Balloon Text"/>
    <w:basedOn w:val="Normal"/>
    <w:link w:val="TextodegloboCar"/>
    <w:uiPriority w:val="99"/>
    <w:semiHidden/>
    <w:unhideWhenUsed/>
    <w:rsid w:val="008D7D65"/>
    <w:rPr>
      <w:rFonts w:ascii="Tahoma" w:hAnsi="Tahoma" w:cs="Tahoma"/>
      <w:sz w:val="16"/>
      <w:szCs w:val="16"/>
    </w:rPr>
  </w:style>
  <w:style w:type="character" w:customStyle="1" w:styleId="TextodegloboCar">
    <w:name w:val="Texto de globo Car"/>
    <w:basedOn w:val="Fuentedeprrafopredeter"/>
    <w:link w:val="Textodeglobo"/>
    <w:uiPriority w:val="99"/>
    <w:semiHidden/>
    <w:rsid w:val="008D7D65"/>
    <w:rPr>
      <w:rFonts w:ascii="Tahoma" w:hAnsi="Tahoma" w:cs="Tahoma"/>
      <w:sz w:val="16"/>
      <w:szCs w:val="16"/>
    </w:rPr>
  </w:style>
  <w:style w:type="character" w:customStyle="1" w:styleId="Ttulo1Car">
    <w:name w:val="Título 1 Car"/>
    <w:basedOn w:val="Fuentedeprrafopredeter"/>
    <w:link w:val="Ttulo1"/>
    <w:uiPriority w:val="9"/>
    <w:rsid w:val="003309C8"/>
    <w:rPr>
      <w:rFonts w:ascii="Arial" w:eastAsia="Arial" w:hAnsi="Arial" w:cs="Arial"/>
      <w:b/>
      <w:bCs/>
      <w:sz w:val="46"/>
      <w:szCs w:val="46"/>
      <w:lang w:val="es-ES"/>
    </w:rPr>
  </w:style>
  <w:style w:type="paragraph" w:styleId="Textoindependiente">
    <w:name w:val="Body Text"/>
    <w:basedOn w:val="Normal"/>
    <w:link w:val="TextoindependienteCar"/>
    <w:uiPriority w:val="1"/>
    <w:qFormat/>
    <w:rsid w:val="003309C8"/>
    <w:pPr>
      <w:spacing w:before="240"/>
      <w:ind w:left="23" w:right="37"/>
      <w:jc w:val="both"/>
    </w:pPr>
  </w:style>
  <w:style w:type="character" w:customStyle="1" w:styleId="TextoindependienteCar">
    <w:name w:val="Texto independiente Car"/>
    <w:basedOn w:val="Fuentedeprrafopredeter"/>
    <w:link w:val="Textoindependiente"/>
    <w:uiPriority w:val="1"/>
    <w:rsid w:val="003309C8"/>
    <w:rPr>
      <w:rFonts w:ascii="Arial MT" w:eastAsia="Arial MT" w:hAnsi="Arial MT" w:cs="Arial MT"/>
      <w:lang w:val="es-ES"/>
    </w:rPr>
  </w:style>
  <w:style w:type="character" w:customStyle="1" w:styleId="Ttulo2Car">
    <w:name w:val="Título 2 Car"/>
    <w:basedOn w:val="Fuentedeprrafopredeter"/>
    <w:link w:val="Ttulo2"/>
    <w:uiPriority w:val="9"/>
    <w:semiHidden/>
    <w:rsid w:val="003309C8"/>
    <w:rPr>
      <w:rFonts w:asciiTheme="majorHAnsi" w:eastAsiaTheme="majorEastAsia" w:hAnsiTheme="majorHAnsi" w:cstheme="majorBidi"/>
      <w:color w:val="2E74B5" w:themeColor="accent1" w:themeShade="BF"/>
      <w:sz w:val="26"/>
      <w:szCs w:val="26"/>
      <w:lang w:val="es-ES"/>
    </w:rPr>
  </w:style>
  <w:style w:type="paragraph" w:styleId="NormalWeb">
    <w:name w:val="Normal (Web)"/>
    <w:basedOn w:val="Normal"/>
    <w:uiPriority w:val="99"/>
    <w:unhideWhenUsed/>
    <w:rsid w:val="003309C8"/>
    <w:pPr>
      <w:widowControl/>
      <w:autoSpaceDE/>
      <w:autoSpaceDN/>
      <w:spacing w:before="100" w:beforeAutospacing="1" w:after="100" w:afterAutospacing="1"/>
    </w:pPr>
    <w:rPr>
      <w:rFonts w:ascii="Times New Roman" w:eastAsia="Times New Roman" w:hAnsi="Times New Roman" w:cs="Times New Roman"/>
      <w:sz w:val="24"/>
      <w:szCs w:val="24"/>
      <w:lang/>
    </w:rPr>
  </w:style>
  <w:style w:type="character" w:styleId="Textoennegrita">
    <w:name w:val="Strong"/>
    <w:basedOn w:val="Fuentedeprrafopredeter"/>
    <w:uiPriority w:val="22"/>
    <w:qFormat/>
    <w:rsid w:val="003309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9999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387</Words>
  <Characters>2211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ANYI</dc:creator>
  <cp:keywords/>
  <dc:description/>
  <cp:lastModifiedBy>Brenda Quattrini</cp:lastModifiedBy>
  <cp:revision>2</cp:revision>
  <dcterms:created xsi:type="dcterms:W3CDTF">2026-09-18T15:19:00Z</dcterms:created>
  <dcterms:modified xsi:type="dcterms:W3CDTF">2026-09-18T15:19:00Z</dcterms:modified>
</cp:coreProperties>
</file>