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9BE9E" w14:textId="77777777" w:rsidR="00D76664" w:rsidRDefault="00D76664">
      <w:pPr>
        <w:jc w:val="center"/>
        <w:rPr>
          <w:b/>
          <w:bCs/>
        </w:rPr>
      </w:pPr>
    </w:p>
    <w:p w14:paraId="4575D7A7" w14:textId="58E3C8BE" w:rsidR="000C613F" w:rsidRPr="000C613F" w:rsidRDefault="000C613F" w:rsidP="000C613F">
      <w:pPr>
        <w:pStyle w:val="Ttulo2"/>
        <w:spacing w:after="80"/>
        <w:jc w:val="center"/>
        <w:rPr>
          <w:b/>
          <w:bCs/>
        </w:rPr>
      </w:pPr>
      <w:proofErr w:type="spellStart"/>
      <w:r w:rsidRPr="000C613F">
        <w:rPr>
          <w:b/>
          <w:bCs/>
          <w:color w:val="000000"/>
          <w:sz w:val="26"/>
          <w:szCs w:val="26"/>
        </w:rPr>
        <w:t>Aapresid</w:t>
      </w:r>
      <w:proofErr w:type="spellEnd"/>
      <w:r w:rsidRPr="000C613F">
        <w:rPr>
          <w:b/>
          <w:bCs/>
          <w:color w:val="000000"/>
          <w:sz w:val="26"/>
          <w:szCs w:val="26"/>
        </w:rPr>
        <w:t xml:space="preserve">, INTA, la Secretaría de Agricultura, Ganadería y Pesca y Syngenta, presentaron en el Congreso </w:t>
      </w:r>
      <w:proofErr w:type="spellStart"/>
      <w:r w:rsidRPr="000C613F">
        <w:rPr>
          <w:b/>
          <w:bCs/>
          <w:color w:val="000000"/>
          <w:sz w:val="26"/>
          <w:szCs w:val="26"/>
        </w:rPr>
        <w:t>Aapresid</w:t>
      </w:r>
      <w:proofErr w:type="spellEnd"/>
      <w:r w:rsidRPr="000C613F">
        <w:rPr>
          <w:b/>
          <w:bCs/>
          <w:color w:val="000000"/>
          <w:sz w:val="26"/>
          <w:szCs w:val="26"/>
        </w:rPr>
        <w:t xml:space="preserve"> una Guía técnica para la recuperación de suelos degradados</w:t>
      </w:r>
    </w:p>
    <w:p w14:paraId="54DF03F9" w14:textId="77777777" w:rsidR="000C613F" w:rsidRDefault="000C613F" w:rsidP="000C613F">
      <w:pPr>
        <w:pStyle w:val="Ttulo2"/>
        <w:spacing w:after="80"/>
        <w:jc w:val="center"/>
      </w:pPr>
      <w:r>
        <w:rPr>
          <w:color w:val="000000"/>
          <w:sz w:val="22"/>
          <w:szCs w:val="22"/>
        </w:rPr>
        <w:t xml:space="preserve">En el marco del 34° Congreso </w:t>
      </w:r>
      <w:proofErr w:type="spellStart"/>
      <w:r>
        <w:rPr>
          <w:color w:val="000000"/>
          <w:sz w:val="22"/>
          <w:szCs w:val="22"/>
        </w:rPr>
        <w:t>Aapresid</w:t>
      </w:r>
      <w:proofErr w:type="spellEnd"/>
      <w:r>
        <w:rPr>
          <w:color w:val="000000"/>
          <w:sz w:val="22"/>
          <w:szCs w:val="22"/>
        </w:rPr>
        <w:t>, las entidades lanzaron una guía para ofrecer a los productores herramientas prácticas para restaurar y sostener el potencial productivo del suelo.</w:t>
      </w:r>
    </w:p>
    <w:p w14:paraId="0BDB1C0E" w14:textId="77777777" w:rsidR="000C613F" w:rsidRDefault="000C613F" w:rsidP="000C613F">
      <w:pPr>
        <w:pStyle w:val="NormalWeb"/>
        <w:spacing w:before="240" w:beforeAutospacing="0" w:after="240" w:afterAutospacing="0"/>
        <w:jc w:val="both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marco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del 34°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Congreso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Aapresid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con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fuerza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Expoagro,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celebrado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bajo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lema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color w:val="000000"/>
          <w:sz w:val="22"/>
          <w:szCs w:val="22"/>
        </w:rPr>
        <w:t>“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Nuestro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suelo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, Nuestra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voz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>”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Rosario,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Asociación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Argentina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Productores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Siembra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Directa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Aapresid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INTA</w:t>
      </w:r>
      <w:r>
        <w:rPr>
          <w:rFonts w:ascii="Arial" w:hAnsi="Arial" w:cs="Arial"/>
          <w:color w:val="000000"/>
          <w:sz w:val="22"/>
          <w:szCs w:val="22"/>
        </w:rPr>
        <w:t xml:space="preserve"> (Instituto Nacional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Tecnología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Agropecuaria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Secretaría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Agricultura, </w:t>
      </w:r>
      <w:r>
        <w:rPr>
          <w:rFonts w:ascii="Arial" w:hAnsi="Arial" w:cs="Arial"/>
          <w:color w:val="000000"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Ganadería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Pesca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Nación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</w:t>
      </w:r>
      <w:r>
        <w:rPr>
          <w:rFonts w:ascii="Arial" w:hAnsi="Arial" w:cs="Arial"/>
          <w:color w:val="000000"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firma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Syngenta,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presentaron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una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Guía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técnica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para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recuperación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suelos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degradados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FD00299" w14:textId="77777777" w:rsidR="000C613F" w:rsidRDefault="000C613F" w:rsidP="000C613F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una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herramienta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pensada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productores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asesores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, con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información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práctica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estrategias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hacer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frente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a los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principales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desafíos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que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afectan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salud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los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suelos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pérdida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nutrientes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carbono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deterioro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estructura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reducción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actividad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biológica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1A00ACA8" w14:textId="77777777" w:rsidR="000C613F" w:rsidRDefault="000C613F" w:rsidP="000C613F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guía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incluye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sugerencias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prácticas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adaptadas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diferentes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sistemas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productivos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criterios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concretos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diagnóstico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indicadores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qué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medir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cómo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interpretar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resultados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cuándo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intervenir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 hasta una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metodología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para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diseñar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implementar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un Plan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Recuperación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Suelos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progresivo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medible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adaptable a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cada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lote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26EC7349" w14:textId="77777777" w:rsidR="000C613F" w:rsidRDefault="000C613F" w:rsidP="000C613F">
      <w:pPr>
        <w:pStyle w:val="NormalWeb"/>
        <w:spacing w:before="240" w:beforeAutospacing="0" w:after="240" w:afterAutospacing="0"/>
        <w:ind w:right="-41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Durante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lanzamiento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que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tuvo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lugar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durante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mañana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miércoles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5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Stand de Syngenta,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Presidente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INTA, Nicolas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Bronzovich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destacó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que “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los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productores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argentinos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saben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mucho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cómo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cuidar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uno de los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principales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capitales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naturales del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país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, gracias a sus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modelos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producción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basados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ganadería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pastoril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integración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con la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agricultura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incorporación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cultivos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servicios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trabajo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red, entre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muchos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otros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diferenciales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. Pero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esto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no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significa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que no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haya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i/>
          <w:iCs/>
          <w:color w:val="000000"/>
          <w:sz w:val="22"/>
          <w:szCs w:val="22"/>
        </w:rPr>
        <w:t>oportunidades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>  de</w:t>
      </w:r>
      <w:proofErr w:type="gram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mejora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, de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aspectos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como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pérdida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nutrientes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y la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caída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de los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contenidos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carbono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esa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línea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esta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guía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hace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un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aporte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fundamental”.</w:t>
      </w:r>
    </w:p>
    <w:p w14:paraId="580F9195" w14:textId="77777777" w:rsidR="000C613F" w:rsidRDefault="000C613F" w:rsidP="000C613F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turno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Presidente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Aapresid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, Marcelo Torres,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agregó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i/>
          <w:iCs/>
          <w:color w:val="000000"/>
          <w:sz w:val="22"/>
          <w:szCs w:val="22"/>
        </w:rPr>
        <w:t>“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Esta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guía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es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fruto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trabajo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coordinado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entre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entidades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del sector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público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y privado, que se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unieron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con la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convicción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de que la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degradación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suelo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no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puede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abordarse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individualmente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y que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requiere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del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diálogo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entre la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ciencia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, la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política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pública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sector privado y las redes de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productores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>”.</w:t>
      </w:r>
    </w:p>
    <w:p w14:paraId="6850E7B4" w14:textId="77777777" w:rsidR="000C613F" w:rsidRDefault="000C613F" w:rsidP="000C613F">
      <w:pPr>
        <w:pStyle w:val="NormalWeb"/>
        <w:spacing w:before="240" w:beforeAutospacing="0" w:after="240" w:afterAutospacing="0"/>
        <w:ind w:right="600"/>
        <w:jc w:val="both"/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Mariale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Álvarez,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directora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Sustentabilidad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Asuntos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Corporativos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LATAM de Syngenta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dijo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>: “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Esta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guía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es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resultado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de un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trabajo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colaborativo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que no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siempre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es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camino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más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fácil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pero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sin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duda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es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más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impactante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”.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Agregó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: “El gran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desafío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de los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productores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es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producir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más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con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menos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. Con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esta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herramienta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buscamos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acompañarlos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toma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decisiones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para que sus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suelos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sigan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siendo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productivos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el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tiempo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>”</w:t>
      </w:r>
    </w:p>
    <w:p w14:paraId="02D5D7C9" w14:textId="77777777" w:rsidR="000C613F" w:rsidRDefault="000C613F" w:rsidP="000C613F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guía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encuentra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7" w:history="1">
        <w:r>
          <w:rPr>
            <w:rStyle w:val="Hipervnculo"/>
            <w:rFonts w:ascii="Arial" w:hAnsi="Arial" w:cs="Arial"/>
            <w:color w:val="1155CC"/>
            <w:sz w:val="22"/>
            <w:szCs w:val="22"/>
          </w:rPr>
          <w:t xml:space="preserve">disponible para </w:t>
        </w:r>
        <w:proofErr w:type="spellStart"/>
        <w:r>
          <w:rPr>
            <w:rStyle w:val="Hipervnculo"/>
            <w:rFonts w:ascii="Arial" w:hAnsi="Arial" w:cs="Arial"/>
            <w:color w:val="1155CC"/>
            <w:sz w:val="22"/>
            <w:szCs w:val="22"/>
          </w:rPr>
          <w:t>su</w:t>
        </w:r>
        <w:proofErr w:type="spellEnd"/>
        <w:r>
          <w:rPr>
            <w:rStyle w:val="Hipervnculo"/>
            <w:rFonts w:ascii="Arial" w:hAnsi="Arial" w:cs="Arial"/>
            <w:color w:val="1155CC"/>
            <w:sz w:val="22"/>
            <w:szCs w:val="22"/>
          </w:rPr>
          <w:t xml:space="preserve"> consulta y </w:t>
        </w:r>
        <w:proofErr w:type="spellStart"/>
        <w:r>
          <w:rPr>
            <w:rStyle w:val="Hipervnculo"/>
            <w:rFonts w:ascii="Arial" w:hAnsi="Arial" w:cs="Arial"/>
            <w:color w:val="1155CC"/>
            <w:sz w:val="22"/>
            <w:szCs w:val="22"/>
          </w:rPr>
          <w:t>descarga</w:t>
        </w:r>
        <w:proofErr w:type="spellEnd"/>
        <w:r>
          <w:rPr>
            <w:rStyle w:val="Hipervnculo"/>
            <w:rFonts w:ascii="Arial" w:hAnsi="Arial" w:cs="Arial"/>
            <w:color w:val="1155CC"/>
            <w:sz w:val="22"/>
            <w:szCs w:val="22"/>
          </w:rPr>
          <w:t xml:space="preserve"> de </w:t>
        </w:r>
        <w:proofErr w:type="spellStart"/>
        <w:r>
          <w:rPr>
            <w:rStyle w:val="Hipervnculo"/>
            <w:rFonts w:ascii="Arial" w:hAnsi="Arial" w:cs="Arial"/>
            <w:color w:val="1155CC"/>
            <w:sz w:val="22"/>
            <w:szCs w:val="22"/>
          </w:rPr>
          <w:t>manera</w:t>
        </w:r>
        <w:proofErr w:type="spellEnd"/>
        <w:r>
          <w:rPr>
            <w:rStyle w:val="Hipervnculo"/>
            <w:rFonts w:ascii="Arial" w:hAnsi="Arial" w:cs="Arial"/>
            <w:color w:val="1155CC"/>
            <w:sz w:val="22"/>
            <w:szCs w:val="22"/>
          </w:rPr>
          <w:t xml:space="preserve"> </w:t>
        </w:r>
        <w:r>
          <w:rPr>
            <w:rStyle w:val="Hipervnculo"/>
            <w:rFonts w:ascii="Arial" w:hAnsi="Arial" w:cs="Arial"/>
            <w:b/>
            <w:bCs/>
            <w:color w:val="1155CC"/>
            <w:sz w:val="22"/>
            <w:szCs w:val="22"/>
          </w:rPr>
          <w:t xml:space="preserve">online y 100% </w:t>
        </w:r>
        <w:proofErr w:type="spellStart"/>
        <w:r>
          <w:rPr>
            <w:rStyle w:val="Hipervnculo"/>
            <w:rFonts w:ascii="Arial" w:hAnsi="Arial" w:cs="Arial"/>
            <w:b/>
            <w:bCs/>
            <w:color w:val="1155CC"/>
            <w:sz w:val="22"/>
            <w:szCs w:val="22"/>
          </w:rPr>
          <w:t>gratuita</w:t>
        </w:r>
        <w:proofErr w:type="spellEnd"/>
        <w:r>
          <w:rPr>
            <w:rStyle w:val="Hipervnculo"/>
            <w:rFonts w:ascii="Arial" w:hAnsi="Arial" w:cs="Arial"/>
            <w:color w:val="1155CC"/>
            <w:sz w:val="22"/>
            <w:szCs w:val="22"/>
          </w:rPr>
          <w:t> </w:t>
        </w:r>
      </w:hyperlink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C613F" w14:paraId="55E884EA" w14:textId="77777777" w:rsidTr="000C613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3E301" w14:textId="77777777" w:rsidR="000C613F" w:rsidRDefault="000C613F">
            <w:pPr>
              <w:pStyle w:val="NormalWeb"/>
              <w:spacing w:before="0" w:beforeAutospacing="0" w:after="0" w:afterAutospacing="0"/>
              <w:jc w:val="center"/>
            </w:pPr>
            <w:hyperlink r:id="rId8" w:history="1">
              <w:proofErr w:type="spellStart"/>
              <w:r>
                <w:rPr>
                  <w:rStyle w:val="Hipervnculo"/>
                  <w:rFonts w:ascii="Arial" w:hAnsi="Arial" w:cs="Arial"/>
                  <w:color w:val="1155CC"/>
                  <w:sz w:val="22"/>
                  <w:szCs w:val="22"/>
                </w:rPr>
                <w:t>Acceso</w:t>
              </w:r>
              <w:proofErr w:type="spellEnd"/>
              <w:r>
                <w:rPr>
                  <w:rStyle w:val="Hipervnculo"/>
                  <w:rFonts w:ascii="Arial" w:hAnsi="Arial" w:cs="Arial"/>
                  <w:color w:val="1155CC"/>
                  <w:sz w:val="22"/>
                  <w:szCs w:val="22"/>
                </w:rPr>
                <w:t xml:space="preserve"> a la </w:t>
              </w:r>
              <w:proofErr w:type="spellStart"/>
              <w:r>
                <w:rPr>
                  <w:rStyle w:val="Hipervnculo"/>
                  <w:rFonts w:ascii="Arial" w:hAnsi="Arial" w:cs="Arial"/>
                  <w:color w:val="1155CC"/>
                  <w:sz w:val="22"/>
                  <w:szCs w:val="22"/>
                </w:rPr>
                <w:t>guía</w:t>
              </w:r>
              <w:proofErr w:type="spellEnd"/>
              <w:r>
                <w:rPr>
                  <w:rStyle w:val="Hipervnculo"/>
                  <w:rFonts w:ascii="Arial" w:hAnsi="Arial" w:cs="Arial"/>
                  <w:color w:val="1155CC"/>
                  <w:sz w:val="22"/>
                  <w:szCs w:val="22"/>
                </w:rPr>
                <w:t> </w:t>
              </w:r>
            </w:hyperlink>
          </w:p>
        </w:tc>
      </w:tr>
    </w:tbl>
    <w:p w14:paraId="08DC1A6A" w14:textId="1545C7CA" w:rsidR="00D76664" w:rsidRDefault="00D76664">
      <w:pPr>
        <w:jc w:val="both"/>
        <w:rPr>
          <w:rFonts w:ascii="Aptos" w:eastAsia="Aptos" w:hAnsi="Aptos" w:cs="Aptos"/>
        </w:rPr>
      </w:pPr>
    </w:p>
    <w:sectPr w:rsidR="00D76664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89737" w14:textId="77777777" w:rsidR="00B778E8" w:rsidRDefault="00B778E8">
      <w:pPr>
        <w:spacing w:line="240" w:lineRule="auto"/>
      </w:pPr>
      <w:r>
        <w:separator/>
      </w:r>
    </w:p>
  </w:endnote>
  <w:endnote w:type="continuationSeparator" w:id="0">
    <w:p w14:paraId="6D4E9247" w14:textId="77777777" w:rsidR="00B778E8" w:rsidRDefault="00B778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5804DB6-6319-4834-823A-50D682A0558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42B2728-8D30-4AB0-8A7A-8987E87E08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3E614" w14:textId="77777777" w:rsidR="00D76664" w:rsidRDefault="00D766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5CCC8" w14:textId="77777777" w:rsidR="00B778E8" w:rsidRDefault="00B778E8">
      <w:pPr>
        <w:spacing w:line="240" w:lineRule="auto"/>
      </w:pPr>
      <w:r>
        <w:separator/>
      </w:r>
    </w:p>
  </w:footnote>
  <w:footnote w:type="continuationSeparator" w:id="0">
    <w:p w14:paraId="7BD1FBC7" w14:textId="77777777" w:rsidR="00B778E8" w:rsidRDefault="00B778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600EE" w14:textId="77777777" w:rsidR="00D76664" w:rsidRDefault="00527089">
    <w:r>
      <w:rPr>
        <w:noProof/>
      </w:rPr>
      <w:drawing>
        <wp:anchor distT="0" distB="0" distL="0" distR="0" simplePos="0" relativeHeight="251658240" behindDoc="1" locked="0" layoutInCell="1" hidden="0" allowOverlap="1" wp14:anchorId="0B7AEB7A" wp14:editId="05A84BBE">
          <wp:simplePos x="0" y="0"/>
          <wp:positionH relativeFrom="page">
            <wp:posOffset>-9519</wp:posOffset>
          </wp:positionH>
          <wp:positionV relativeFrom="page">
            <wp:posOffset>-47618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664"/>
    <w:rsid w:val="000C613F"/>
    <w:rsid w:val="00527089"/>
    <w:rsid w:val="005B5352"/>
    <w:rsid w:val="00B778E8"/>
    <w:rsid w:val="00D7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08B2C"/>
  <w15:docId w15:val="{474E34FE-1EBD-4AE4-9BED-D1735AFC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0C6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001"/>
    </w:rPr>
  </w:style>
  <w:style w:type="character" w:styleId="Hipervnculo">
    <w:name w:val="Hyperlink"/>
    <w:basedOn w:val="Fuentedeprrafopredeter"/>
    <w:uiPriority w:val="99"/>
    <w:semiHidden/>
    <w:unhideWhenUsed/>
    <w:rsid w:val="000C61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5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ngenta.com.ar/media/20181/downlo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yngenta.com.ar/media/20181/downloa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h7Do8JeuH/a6zuyOw7m8W/Re8A==">CgMxLjA4AHIhMXM3RElQMlg4ekpVYlVHd0g0SWhPOU9mTWthWFVmc0da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Antonella Schiantarelli</dc:creator>
  <cp:lastModifiedBy>Antonella  Schiantarelli</cp:lastModifiedBy>
  <cp:revision>2</cp:revision>
  <dcterms:created xsi:type="dcterms:W3CDTF">2026-08-05T20:16:00Z</dcterms:created>
  <dcterms:modified xsi:type="dcterms:W3CDTF">2026-08-05T20:16:00Z</dcterms:modified>
</cp:coreProperties>
</file>