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503A5" w14:textId="72726341" w:rsidR="00E61BAF" w:rsidRDefault="00E61BAF" w:rsidP="00E61BAF">
      <w:pPr>
        <w:jc w:val="center"/>
        <w:rPr>
          <w:rFonts w:asciiTheme="minorHAnsi" w:hAnsiTheme="minorHAnsi" w:cstheme="minorHAnsi"/>
          <w:sz w:val="28"/>
          <w:szCs w:val="28"/>
        </w:rPr>
      </w:pPr>
      <w:r w:rsidRPr="00E61BAF">
        <w:rPr>
          <w:rFonts w:asciiTheme="minorHAnsi" w:hAnsiTheme="minorHAnsi" w:cstheme="minorHAnsi"/>
          <w:sz w:val="28"/>
          <w:szCs w:val="28"/>
        </w:rPr>
        <w:t>Avances en tecnología agrícola aplicada a la ganadería</w:t>
      </w:r>
    </w:p>
    <w:p w14:paraId="2956A3F5" w14:textId="77777777" w:rsidR="00E61BAF" w:rsidRPr="00E61BAF" w:rsidRDefault="00E61BAF" w:rsidP="00E61BA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119B93E" w14:textId="77777777" w:rsidR="00E61BAF" w:rsidRPr="00E61BAF" w:rsidRDefault="00E61BAF" w:rsidP="00E61BAF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61BAF">
        <w:rPr>
          <w:rFonts w:asciiTheme="minorHAnsi" w:hAnsiTheme="minorHAnsi" w:cstheme="minorHAnsi"/>
          <w:i/>
          <w:sz w:val="24"/>
          <w:szCs w:val="24"/>
        </w:rPr>
        <w:t>Advanta acompañará a la Exposición Nacional Angus de Primavera con un enfoque destinado a mejorar la performance animal a través de híbridos de sorgo y maíz. La empresa, además, presentará innovaciones en tecnología agrícola para enfrentar desafíos y optimizar los rendimientos ganaderos.</w:t>
      </w:r>
    </w:p>
    <w:p w14:paraId="12E4535F" w14:textId="77777777" w:rsidR="00E61BAF" w:rsidRPr="00E61BAF" w:rsidRDefault="00E61BAF" w:rsidP="00E6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5F20CD" w14:textId="0CDF458A" w:rsidR="00E61BAF" w:rsidRDefault="00E61BAF" w:rsidP="00E61BAF">
      <w:pPr>
        <w:jc w:val="both"/>
        <w:rPr>
          <w:rFonts w:asciiTheme="minorHAnsi" w:hAnsiTheme="minorHAnsi" w:cstheme="minorHAnsi"/>
          <w:sz w:val="24"/>
          <w:szCs w:val="24"/>
        </w:rPr>
      </w:pPr>
      <w:r w:rsidRPr="00E61BAF">
        <w:rPr>
          <w:rFonts w:asciiTheme="minorHAnsi" w:hAnsiTheme="minorHAnsi" w:cstheme="minorHAnsi"/>
          <w:sz w:val="24"/>
          <w:szCs w:val="24"/>
        </w:rPr>
        <w:t xml:space="preserve">Del 19 al 22 de septiembre, se llevará a cabo la </w:t>
      </w:r>
      <w:r w:rsidRPr="00E61BAF">
        <w:rPr>
          <w:rFonts w:asciiTheme="minorHAnsi" w:hAnsiTheme="minorHAnsi" w:cstheme="minorHAnsi"/>
          <w:b/>
          <w:sz w:val="24"/>
          <w:szCs w:val="24"/>
        </w:rPr>
        <w:t>44ª edición de la Exposición Nacional Angus de Primavera con la fuerza de Expoagro</w:t>
      </w:r>
      <w:r w:rsidRPr="00E61BAF">
        <w:rPr>
          <w:rFonts w:asciiTheme="minorHAnsi" w:hAnsiTheme="minorHAnsi" w:cstheme="minorHAnsi"/>
          <w:sz w:val="24"/>
          <w:szCs w:val="24"/>
        </w:rPr>
        <w:t xml:space="preserve">. La sede, será la Sociedad Rural de Olavarría, un punto de encuentro destacado para los entusiastas de la raza y los negocios agropecuarios. </w:t>
      </w:r>
    </w:p>
    <w:p w14:paraId="6C7B7980" w14:textId="77777777" w:rsidR="00AF02ED" w:rsidRPr="00E61BAF" w:rsidRDefault="00AF02ED" w:rsidP="00E6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7A48A4" w14:textId="5B2B4FE8" w:rsidR="00E61BAF" w:rsidRDefault="00E61BAF" w:rsidP="00E61BAF">
      <w:pPr>
        <w:jc w:val="both"/>
        <w:rPr>
          <w:rFonts w:asciiTheme="minorHAnsi" w:hAnsiTheme="minorHAnsi" w:cstheme="minorHAnsi"/>
          <w:sz w:val="24"/>
          <w:szCs w:val="24"/>
        </w:rPr>
      </w:pPr>
      <w:r w:rsidRPr="00E61BAF">
        <w:rPr>
          <w:rFonts w:asciiTheme="minorHAnsi" w:hAnsiTheme="minorHAnsi" w:cstheme="minorHAnsi"/>
          <w:b/>
          <w:sz w:val="24"/>
          <w:szCs w:val="24"/>
        </w:rPr>
        <w:t>Advanta</w:t>
      </w:r>
      <w:r w:rsidRPr="00E61BAF">
        <w:rPr>
          <w:rFonts w:asciiTheme="minorHAnsi" w:hAnsiTheme="minorHAnsi" w:cstheme="minorHAnsi"/>
          <w:sz w:val="24"/>
          <w:szCs w:val="24"/>
        </w:rPr>
        <w:t xml:space="preserve">, una empresa que mantiene el compromiso con la ganadería y una comprensión de los desafíos del sector, acompañará el evento. Su enfoque en el manejo del recurso forrajero es uno de los objetivos centrales </w:t>
      </w:r>
      <w:r w:rsidR="00137523">
        <w:rPr>
          <w:rFonts w:asciiTheme="minorHAnsi" w:hAnsiTheme="minorHAnsi" w:cstheme="minorHAnsi"/>
          <w:sz w:val="24"/>
          <w:szCs w:val="24"/>
        </w:rPr>
        <w:t>que tienen</w:t>
      </w:r>
      <w:r w:rsidRPr="00E61BAF">
        <w:rPr>
          <w:rFonts w:asciiTheme="minorHAnsi" w:hAnsiTheme="minorHAnsi" w:cstheme="minorHAnsi"/>
          <w:sz w:val="24"/>
          <w:szCs w:val="24"/>
        </w:rPr>
        <w:t xml:space="preserve"> los productores, es por ello que</w:t>
      </w:r>
      <w:r w:rsidR="00137523">
        <w:rPr>
          <w:rFonts w:asciiTheme="minorHAnsi" w:hAnsiTheme="minorHAnsi" w:cstheme="minorHAnsi"/>
          <w:sz w:val="24"/>
          <w:szCs w:val="24"/>
        </w:rPr>
        <w:t>,</w:t>
      </w:r>
      <w:r w:rsidRPr="00E61BAF">
        <w:rPr>
          <w:rFonts w:asciiTheme="minorHAnsi" w:hAnsiTheme="minorHAnsi" w:cstheme="minorHAnsi"/>
          <w:sz w:val="24"/>
          <w:szCs w:val="24"/>
        </w:rPr>
        <w:t xml:space="preserve"> deciden aplicar toda su </w:t>
      </w:r>
      <w:proofErr w:type="spellStart"/>
      <w:r w:rsidRPr="00E61BAF">
        <w:rPr>
          <w:rFonts w:asciiTheme="minorHAnsi" w:hAnsiTheme="minorHAnsi" w:cstheme="minorHAnsi"/>
          <w:sz w:val="24"/>
          <w:szCs w:val="24"/>
        </w:rPr>
        <w:t>expertise</w:t>
      </w:r>
      <w:proofErr w:type="spellEnd"/>
      <w:r w:rsidRPr="00E61BAF">
        <w:rPr>
          <w:rFonts w:asciiTheme="minorHAnsi" w:hAnsiTheme="minorHAnsi" w:cstheme="minorHAnsi"/>
          <w:sz w:val="24"/>
          <w:szCs w:val="24"/>
        </w:rPr>
        <w:t xml:space="preserve">, en híbridos de sorgo y maíz. </w:t>
      </w:r>
    </w:p>
    <w:p w14:paraId="19C18892" w14:textId="77777777" w:rsidR="00AF02ED" w:rsidRPr="00E61BAF" w:rsidRDefault="00AF02ED" w:rsidP="00E6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419233" w14:textId="4AB3B05E" w:rsidR="00E61BAF" w:rsidRDefault="00E61BAF" w:rsidP="00E61BAF">
      <w:pPr>
        <w:jc w:val="both"/>
        <w:rPr>
          <w:rFonts w:asciiTheme="minorHAnsi" w:hAnsiTheme="minorHAnsi" w:cstheme="minorHAnsi"/>
          <w:sz w:val="24"/>
          <w:szCs w:val="24"/>
        </w:rPr>
      </w:pPr>
      <w:r w:rsidRPr="00E61BAF">
        <w:rPr>
          <w:rFonts w:asciiTheme="minorHAnsi" w:hAnsiTheme="minorHAnsi" w:cstheme="minorHAnsi"/>
          <w:sz w:val="24"/>
          <w:szCs w:val="24"/>
        </w:rPr>
        <w:t>La compañía</w:t>
      </w:r>
      <w:r w:rsidR="00933343">
        <w:rPr>
          <w:rFonts w:asciiTheme="minorHAnsi" w:hAnsiTheme="minorHAnsi" w:cstheme="minorHAnsi"/>
          <w:sz w:val="24"/>
          <w:szCs w:val="24"/>
        </w:rPr>
        <w:t>, además, destaca que es esencial no só</w:t>
      </w:r>
      <w:r w:rsidRPr="00E61BAF">
        <w:rPr>
          <w:rFonts w:asciiTheme="minorHAnsi" w:hAnsiTheme="minorHAnsi" w:cstheme="minorHAnsi"/>
          <w:sz w:val="24"/>
          <w:szCs w:val="24"/>
        </w:rPr>
        <w:t>lo recomendar híbridos basados en su potencial de rendimiento, sino también co</w:t>
      </w:r>
      <w:r w:rsidR="00852B13">
        <w:rPr>
          <w:rFonts w:asciiTheme="minorHAnsi" w:hAnsiTheme="minorHAnsi" w:cstheme="minorHAnsi"/>
          <w:sz w:val="24"/>
          <w:szCs w:val="24"/>
        </w:rPr>
        <w:t>nsiderar su</w:t>
      </w:r>
      <w:r w:rsidR="00E73F7C">
        <w:rPr>
          <w:rFonts w:asciiTheme="minorHAnsi" w:hAnsiTheme="minorHAnsi" w:cstheme="minorHAnsi"/>
          <w:sz w:val="24"/>
          <w:szCs w:val="24"/>
        </w:rPr>
        <w:t xml:space="preserve"> </w:t>
      </w:r>
      <w:r w:rsidR="00E73F7C" w:rsidRPr="008F6438">
        <w:rPr>
          <w:rFonts w:asciiTheme="minorHAnsi" w:hAnsiTheme="minorHAnsi" w:cstheme="minorHAnsi"/>
          <w:sz w:val="24"/>
          <w:szCs w:val="24"/>
        </w:rPr>
        <w:t>impacto en</w:t>
      </w:r>
      <w:r w:rsidR="00E73F7C">
        <w:rPr>
          <w:rFonts w:asciiTheme="minorHAnsi" w:hAnsiTheme="minorHAnsi" w:cstheme="minorHAnsi"/>
          <w:sz w:val="24"/>
          <w:szCs w:val="24"/>
        </w:rPr>
        <w:t xml:space="preserve"> la</w:t>
      </w:r>
      <w:r w:rsidR="00852B13">
        <w:rPr>
          <w:rFonts w:asciiTheme="minorHAnsi" w:hAnsiTheme="minorHAnsi" w:cstheme="minorHAnsi"/>
          <w:sz w:val="24"/>
          <w:szCs w:val="24"/>
        </w:rPr>
        <w:t xml:space="preserve"> performance animal, e</w:t>
      </w:r>
      <w:r w:rsidRPr="00E61BAF">
        <w:rPr>
          <w:rFonts w:asciiTheme="minorHAnsi" w:hAnsiTheme="minorHAnsi" w:cstheme="minorHAnsi"/>
          <w:sz w:val="24"/>
          <w:szCs w:val="24"/>
        </w:rPr>
        <w:t>s decir, el potencial resultado en kilos de carne por hectárea.</w:t>
      </w:r>
    </w:p>
    <w:p w14:paraId="22B23C38" w14:textId="77777777" w:rsidR="00933343" w:rsidRPr="00E61BAF" w:rsidRDefault="00933343" w:rsidP="00E6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92611A" w14:textId="68B40838" w:rsidR="00E61BAF" w:rsidRDefault="00E61BAF" w:rsidP="00E61BAF">
      <w:pPr>
        <w:jc w:val="both"/>
        <w:rPr>
          <w:rFonts w:asciiTheme="minorHAnsi" w:hAnsiTheme="minorHAnsi" w:cstheme="minorHAnsi"/>
          <w:sz w:val="24"/>
          <w:szCs w:val="24"/>
        </w:rPr>
      </w:pPr>
      <w:r w:rsidRPr="00933343">
        <w:rPr>
          <w:rFonts w:asciiTheme="minorHAnsi" w:hAnsiTheme="minorHAnsi" w:cstheme="minorHAnsi"/>
          <w:b/>
          <w:sz w:val="24"/>
          <w:szCs w:val="24"/>
        </w:rPr>
        <w:t>Advanta</w:t>
      </w:r>
      <w:r w:rsidRPr="00E61BAF">
        <w:rPr>
          <w:rFonts w:asciiTheme="minorHAnsi" w:hAnsiTheme="minorHAnsi" w:cstheme="minorHAnsi"/>
          <w:sz w:val="24"/>
          <w:szCs w:val="24"/>
        </w:rPr>
        <w:t xml:space="preserve"> </w:t>
      </w:r>
      <w:r w:rsidR="00852B13">
        <w:rPr>
          <w:rFonts w:asciiTheme="minorHAnsi" w:hAnsiTheme="minorHAnsi" w:cstheme="minorHAnsi"/>
          <w:sz w:val="24"/>
          <w:szCs w:val="24"/>
        </w:rPr>
        <w:t>desarrolla</w:t>
      </w:r>
      <w:r w:rsidRPr="00E61BAF">
        <w:rPr>
          <w:rFonts w:asciiTheme="minorHAnsi" w:hAnsiTheme="minorHAnsi" w:cstheme="minorHAnsi"/>
          <w:sz w:val="24"/>
          <w:szCs w:val="24"/>
        </w:rPr>
        <w:t xml:space="preserve"> información tanto interna como con instituciones externas para recomendar sus híbridos en diferentes planteos </w:t>
      </w:r>
      <w:r w:rsidRPr="008F6438">
        <w:rPr>
          <w:rFonts w:asciiTheme="minorHAnsi" w:hAnsiTheme="minorHAnsi" w:cstheme="minorHAnsi"/>
          <w:sz w:val="24"/>
          <w:szCs w:val="24"/>
        </w:rPr>
        <w:t>ganaderos</w:t>
      </w:r>
      <w:r w:rsidR="00E73F7C" w:rsidRPr="008F6438">
        <w:rPr>
          <w:rFonts w:asciiTheme="minorHAnsi" w:hAnsiTheme="minorHAnsi" w:cstheme="minorHAnsi"/>
          <w:sz w:val="24"/>
          <w:szCs w:val="24"/>
        </w:rPr>
        <w:t>: cría, recría y engorde</w:t>
      </w:r>
      <w:r w:rsidRPr="008F6438">
        <w:rPr>
          <w:rFonts w:asciiTheme="minorHAnsi" w:hAnsiTheme="minorHAnsi" w:cstheme="minorHAnsi"/>
          <w:sz w:val="24"/>
          <w:szCs w:val="24"/>
        </w:rPr>
        <w:t>. Por</w:t>
      </w:r>
      <w:r w:rsidRPr="00E61BAF">
        <w:rPr>
          <w:rFonts w:asciiTheme="minorHAnsi" w:hAnsiTheme="minorHAnsi" w:cstheme="minorHAnsi"/>
          <w:sz w:val="24"/>
          <w:szCs w:val="24"/>
        </w:rPr>
        <w:t xml:space="preserve"> ejemplo, en el caso del uso de sorgo y maíz como </w:t>
      </w:r>
      <w:r w:rsidR="00852B13">
        <w:rPr>
          <w:rFonts w:asciiTheme="minorHAnsi" w:hAnsiTheme="minorHAnsi" w:cstheme="minorHAnsi"/>
          <w:sz w:val="24"/>
          <w:szCs w:val="24"/>
        </w:rPr>
        <w:t>silaje de planta entera, la empresa</w:t>
      </w:r>
      <w:r w:rsidRPr="00E61BAF">
        <w:rPr>
          <w:rFonts w:asciiTheme="minorHAnsi" w:hAnsiTheme="minorHAnsi" w:cstheme="minorHAnsi"/>
          <w:sz w:val="24"/>
          <w:szCs w:val="24"/>
        </w:rPr>
        <w:t xml:space="preserve"> proporciona indicadores específicos para un mejor aprovechamiento de los cultivos. Aspectos como el momento óptimo de picado y la tasa de </w:t>
      </w:r>
      <w:r w:rsidR="00E73F7C" w:rsidRPr="008F6438">
        <w:rPr>
          <w:rFonts w:asciiTheme="minorHAnsi" w:hAnsiTheme="minorHAnsi" w:cstheme="minorHAnsi"/>
          <w:sz w:val="24"/>
          <w:szCs w:val="24"/>
        </w:rPr>
        <w:t>desecación</w:t>
      </w:r>
      <w:r w:rsidR="00852B13" w:rsidRPr="008F6438">
        <w:rPr>
          <w:rFonts w:asciiTheme="minorHAnsi" w:hAnsiTheme="minorHAnsi" w:cstheme="minorHAnsi"/>
          <w:sz w:val="24"/>
          <w:szCs w:val="24"/>
        </w:rPr>
        <w:t>,</w:t>
      </w:r>
      <w:r w:rsidRPr="008F6438">
        <w:rPr>
          <w:rFonts w:asciiTheme="minorHAnsi" w:hAnsiTheme="minorHAnsi" w:cstheme="minorHAnsi"/>
          <w:sz w:val="24"/>
          <w:szCs w:val="24"/>
        </w:rPr>
        <w:t xml:space="preserve"> son</w:t>
      </w:r>
      <w:r w:rsidRPr="00E61BAF">
        <w:rPr>
          <w:rFonts w:asciiTheme="minorHAnsi" w:hAnsiTheme="minorHAnsi" w:cstheme="minorHAnsi"/>
          <w:sz w:val="24"/>
          <w:szCs w:val="24"/>
        </w:rPr>
        <w:t xml:space="preserve"> factores clave</w:t>
      </w:r>
      <w:r w:rsidR="00852B13">
        <w:rPr>
          <w:rFonts w:asciiTheme="minorHAnsi" w:hAnsiTheme="minorHAnsi" w:cstheme="minorHAnsi"/>
          <w:sz w:val="24"/>
          <w:szCs w:val="24"/>
        </w:rPr>
        <w:t>s</w:t>
      </w:r>
      <w:r w:rsidRPr="00E61BAF">
        <w:rPr>
          <w:rFonts w:asciiTheme="minorHAnsi" w:hAnsiTheme="minorHAnsi" w:cstheme="minorHAnsi"/>
          <w:sz w:val="24"/>
          <w:szCs w:val="24"/>
        </w:rPr>
        <w:t xml:space="preserve"> que determinan la calidad del silo y, por ende, la performance animal.</w:t>
      </w:r>
    </w:p>
    <w:p w14:paraId="723984F6" w14:textId="23625516" w:rsidR="00E5305F" w:rsidRDefault="00E5305F" w:rsidP="00E6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66E591" w14:textId="25BFDA7F" w:rsidR="00E5305F" w:rsidRPr="00E5305F" w:rsidRDefault="00E5305F" w:rsidP="00E61BA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5305F">
        <w:rPr>
          <w:rFonts w:asciiTheme="minorHAnsi" w:hAnsiTheme="minorHAnsi" w:cstheme="minorHAnsi"/>
          <w:b/>
          <w:sz w:val="24"/>
          <w:szCs w:val="24"/>
        </w:rPr>
        <w:t>Una mirada al futuro</w:t>
      </w:r>
    </w:p>
    <w:p w14:paraId="69A2A7FB" w14:textId="77777777" w:rsidR="00933343" w:rsidRPr="00E61BAF" w:rsidRDefault="00933343" w:rsidP="00E6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A41396" w14:textId="27D272CA" w:rsidR="00E61BAF" w:rsidRPr="00C661C1" w:rsidRDefault="00DC38A5" w:rsidP="00E61BAF">
      <w:pPr>
        <w:jc w:val="both"/>
        <w:rPr>
          <w:rFonts w:asciiTheme="minorHAnsi" w:hAnsiTheme="minorHAnsi" w:cstheme="minorHAnsi"/>
          <w:sz w:val="24"/>
          <w:szCs w:val="24"/>
        </w:rPr>
      </w:pPr>
      <w:r w:rsidRPr="00C661C1">
        <w:rPr>
          <w:rFonts w:asciiTheme="minorHAnsi" w:hAnsiTheme="minorHAnsi" w:cstheme="minorHAnsi"/>
          <w:sz w:val="24"/>
          <w:szCs w:val="24"/>
        </w:rPr>
        <w:t>El compromiso de</w:t>
      </w:r>
      <w:r w:rsidR="00E61BAF" w:rsidRPr="00C661C1">
        <w:rPr>
          <w:rFonts w:asciiTheme="minorHAnsi" w:hAnsiTheme="minorHAnsi" w:cstheme="minorHAnsi"/>
          <w:sz w:val="24"/>
          <w:szCs w:val="24"/>
        </w:rPr>
        <w:t xml:space="preserve"> </w:t>
      </w:r>
      <w:r w:rsidR="00E5305F" w:rsidRPr="00C661C1">
        <w:rPr>
          <w:rFonts w:asciiTheme="minorHAnsi" w:hAnsiTheme="minorHAnsi" w:cstheme="minorHAnsi"/>
          <w:sz w:val="24"/>
          <w:szCs w:val="24"/>
        </w:rPr>
        <w:t xml:space="preserve">la firma </w:t>
      </w:r>
      <w:r w:rsidR="00E61BAF" w:rsidRPr="00C661C1">
        <w:rPr>
          <w:rFonts w:asciiTheme="minorHAnsi" w:hAnsiTheme="minorHAnsi" w:cstheme="minorHAnsi"/>
          <w:sz w:val="24"/>
          <w:szCs w:val="24"/>
        </w:rPr>
        <w:t>con la innovación agrícola se refleja en sus novedades. Para enfrentar el desafío del pulgón amarillo en el cultivo de sor</w:t>
      </w:r>
      <w:r w:rsidRPr="00C661C1">
        <w:rPr>
          <w:rFonts w:asciiTheme="minorHAnsi" w:hAnsiTheme="minorHAnsi" w:cstheme="minorHAnsi"/>
          <w:sz w:val="24"/>
          <w:szCs w:val="24"/>
        </w:rPr>
        <w:t xml:space="preserve">go, lanzaron la tecnología </w:t>
      </w:r>
      <w:r w:rsidRPr="00C661C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Aphix</w:t>
      </w:r>
      <w:r w:rsidR="00E61BAF" w:rsidRPr="00C661C1">
        <w:rPr>
          <w:rFonts w:asciiTheme="minorHAnsi" w:hAnsiTheme="minorHAnsi" w:cstheme="minorHAnsi"/>
          <w:sz w:val="24"/>
          <w:szCs w:val="24"/>
        </w:rPr>
        <w:t xml:space="preserve">, </w:t>
      </w:r>
      <w:r w:rsidRPr="00C661C1">
        <w:rPr>
          <w:rFonts w:asciiTheme="minorHAnsi" w:hAnsiTheme="minorHAnsi" w:cstheme="minorHAnsi"/>
          <w:sz w:val="24"/>
          <w:szCs w:val="24"/>
        </w:rPr>
        <w:t xml:space="preserve">presente en híbridos </w:t>
      </w:r>
      <w:r w:rsidRPr="008F6438">
        <w:rPr>
          <w:rFonts w:asciiTheme="minorHAnsi" w:hAnsiTheme="minorHAnsi" w:cstheme="minorHAnsi"/>
          <w:sz w:val="24"/>
          <w:szCs w:val="24"/>
        </w:rPr>
        <w:t>como el ADV 1202</w:t>
      </w:r>
      <w:r w:rsidR="00E73F7C" w:rsidRPr="008F6438">
        <w:rPr>
          <w:rFonts w:asciiTheme="minorHAnsi" w:hAnsiTheme="minorHAnsi" w:cstheme="minorHAnsi"/>
          <w:sz w:val="24"/>
          <w:szCs w:val="24"/>
        </w:rPr>
        <w:t xml:space="preserve"> </w:t>
      </w:r>
      <w:r w:rsidRPr="008F6438">
        <w:rPr>
          <w:rFonts w:asciiTheme="minorHAnsi" w:hAnsiTheme="minorHAnsi" w:cstheme="minorHAnsi"/>
          <w:sz w:val="24"/>
          <w:szCs w:val="24"/>
        </w:rPr>
        <w:t>AX y el AD</w:t>
      </w:r>
      <w:r w:rsidR="00E73F7C" w:rsidRPr="008F6438">
        <w:rPr>
          <w:rFonts w:asciiTheme="minorHAnsi" w:hAnsiTheme="minorHAnsi" w:cstheme="minorHAnsi"/>
          <w:sz w:val="24"/>
          <w:szCs w:val="24"/>
        </w:rPr>
        <w:t>V</w:t>
      </w:r>
      <w:r w:rsidRPr="008F6438">
        <w:rPr>
          <w:rFonts w:asciiTheme="minorHAnsi" w:hAnsiTheme="minorHAnsi" w:cstheme="minorHAnsi"/>
          <w:sz w:val="24"/>
          <w:szCs w:val="24"/>
        </w:rPr>
        <w:t xml:space="preserve"> G2</w:t>
      </w:r>
      <w:r w:rsidR="00E73F7C" w:rsidRPr="008F6438">
        <w:rPr>
          <w:rFonts w:asciiTheme="minorHAnsi" w:hAnsiTheme="minorHAnsi" w:cstheme="minorHAnsi"/>
          <w:sz w:val="24"/>
          <w:szCs w:val="24"/>
        </w:rPr>
        <w:t xml:space="preserve">500 </w:t>
      </w:r>
      <w:r w:rsidRPr="008F6438">
        <w:rPr>
          <w:rFonts w:asciiTheme="minorHAnsi" w:hAnsiTheme="minorHAnsi" w:cstheme="minorHAnsi"/>
          <w:sz w:val="24"/>
          <w:szCs w:val="24"/>
        </w:rPr>
        <w:t>AX</w:t>
      </w:r>
      <w:r w:rsidR="00E61BAF" w:rsidRPr="008F6438">
        <w:rPr>
          <w:rFonts w:asciiTheme="minorHAnsi" w:hAnsiTheme="minorHAnsi" w:cstheme="minorHAnsi"/>
          <w:sz w:val="24"/>
          <w:szCs w:val="24"/>
        </w:rPr>
        <w:t>. Esta tecnología</w:t>
      </w:r>
      <w:r w:rsidR="00E61BAF" w:rsidRPr="00C661C1">
        <w:rPr>
          <w:rFonts w:asciiTheme="minorHAnsi" w:hAnsiTheme="minorHAnsi" w:cstheme="minorHAnsi"/>
          <w:sz w:val="24"/>
          <w:szCs w:val="24"/>
        </w:rPr>
        <w:t xml:space="preserve"> confiere una enorme tolerancia al pulgó</w:t>
      </w:r>
      <w:bookmarkStart w:id="0" w:name="_GoBack"/>
      <w:bookmarkEnd w:id="0"/>
      <w:r w:rsidR="00E61BAF" w:rsidRPr="00C661C1">
        <w:rPr>
          <w:rFonts w:asciiTheme="minorHAnsi" w:hAnsiTheme="minorHAnsi" w:cstheme="minorHAnsi"/>
          <w:sz w:val="24"/>
          <w:szCs w:val="24"/>
        </w:rPr>
        <w:t>n, reduciendo su tasa de reproducción. En el caso del m</w:t>
      </w:r>
      <w:r w:rsidRPr="00C661C1">
        <w:rPr>
          <w:rFonts w:asciiTheme="minorHAnsi" w:hAnsiTheme="minorHAnsi" w:cstheme="minorHAnsi"/>
          <w:sz w:val="24"/>
          <w:szCs w:val="24"/>
        </w:rPr>
        <w:t>aíz, lanzaron el híbrido ADV</w:t>
      </w:r>
      <w:r w:rsidR="00E61BAF" w:rsidRPr="00C661C1">
        <w:rPr>
          <w:rFonts w:asciiTheme="minorHAnsi" w:hAnsiTheme="minorHAnsi" w:cstheme="minorHAnsi"/>
          <w:sz w:val="24"/>
          <w:szCs w:val="24"/>
        </w:rPr>
        <w:t xml:space="preserve"> 8620 </w:t>
      </w:r>
      <w:r w:rsidRPr="00C661C1">
        <w:rPr>
          <w:rFonts w:asciiTheme="minorHAnsi" w:hAnsiTheme="minorHAnsi" w:cstheme="minorHAnsi"/>
          <w:sz w:val="24"/>
          <w:szCs w:val="24"/>
        </w:rPr>
        <w:t>V</w:t>
      </w:r>
      <w:r w:rsidR="00E61BAF" w:rsidRPr="00C661C1">
        <w:rPr>
          <w:rFonts w:asciiTheme="minorHAnsi" w:hAnsiTheme="minorHAnsi" w:cstheme="minorHAnsi"/>
          <w:sz w:val="24"/>
          <w:szCs w:val="24"/>
        </w:rPr>
        <w:t>T</w:t>
      </w:r>
      <w:r w:rsidRPr="00C661C1">
        <w:rPr>
          <w:rFonts w:asciiTheme="minorHAnsi" w:hAnsiTheme="minorHAnsi" w:cstheme="minorHAnsi"/>
          <w:sz w:val="24"/>
          <w:szCs w:val="24"/>
        </w:rPr>
        <w:t>3PRO</w:t>
      </w:r>
      <w:r w:rsidR="00E61BAF" w:rsidRPr="00C661C1">
        <w:rPr>
          <w:rFonts w:asciiTheme="minorHAnsi" w:hAnsiTheme="minorHAnsi" w:cstheme="minorHAnsi"/>
          <w:sz w:val="24"/>
          <w:szCs w:val="24"/>
        </w:rPr>
        <w:t>, especialmente pensado para planteos de silaje de planta entera.</w:t>
      </w:r>
    </w:p>
    <w:p w14:paraId="1700B2EB" w14:textId="1218C0D8" w:rsidR="00933343" w:rsidRDefault="00933343" w:rsidP="00E6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AAD0E5" w14:textId="6617B4BC" w:rsidR="00DC38A5" w:rsidRDefault="00DC38A5" w:rsidP="00E61BAF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C38A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 tecnologías </w:t>
      </w:r>
      <w:r w:rsidR="00E73F7C" w:rsidRPr="008F643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que</w:t>
      </w:r>
      <w:r w:rsidRPr="008F643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73F7C" w:rsidRPr="008F643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protegen</w:t>
      </w:r>
      <w:r w:rsidRPr="008F643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73F7C" w:rsidRPr="008F643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el</w:t>
      </w:r>
      <w:r w:rsidRPr="008F643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crecimiento y la nutrición </w:t>
      </w:r>
      <w:r w:rsidR="00E73F7C" w:rsidRPr="008F643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del cultivo, </w:t>
      </w:r>
      <w:r w:rsidRPr="008F643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como</w:t>
      </w:r>
      <w:r w:rsidRPr="00DC38A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Aphix e Igrowth,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el objetivo de </w:t>
      </w:r>
      <w:r w:rsidRPr="00E73F7C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Advanta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es</w:t>
      </w:r>
      <w:r w:rsidRPr="00DC38A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73F7C" w:rsidRPr="00E73F7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acortar</w:t>
      </w:r>
      <w:r w:rsidR="00E73F7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la brecha presente entre el rendimiento </w:t>
      </w:r>
      <w:r w:rsidR="00E73F7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potencial (genética) y el rendimiento logrado por productores.</w:t>
      </w:r>
      <w:r w:rsidRPr="00DC38A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71C1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“</w:t>
      </w:r>
      <w:r w:rsidRPr="00DC38A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Los avances actuales en el mejoramiento genético han dado lugar a híbridos de alto rendimiento con tolerancia al áfido de la caña de azúcar</w:t>
      </w:r>
      <w:r w:rsidR="00771C1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”, señalaron desde la empresa.</w:t>
      </w:r>
    </w:p>
    <w:p w14:paraId="432D4264" w14:textId="77777777" w:rsidR="00DC38A5" w:rsidRPr="00DC38A5" w:rsidRDefault="00DC38A5" w:rsidP="00E6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904620" w14:textId="77777777" w:rsidR="00E61BAF" w:rsidRPr="00E61BAF" w:rsidRDefault="00E61BAF" w:rsidP="00E61BAF">
      <w:pPr>
        <w:jc w:val="both"/>
        <w:rPr>
          <w:rFonts w:asciiTheme="minorHAnsi" w:hAnsiTheme="minorHAnsi" w:cstheme="minorHAnsi"/>
          <w:sz w:val="24"/>
          <w:szCs w:val="24"/>
        </w:rPr>
      </w:pPr>
      <w:r w:rsidRPr="00C661C1">
        <w:rPr>
          <w:rFonts w:asciiTheme="minorHAnsi" w:hAnsiTheme="minorHAnsi" w:cstheme="minorHAnsi"/>
          <w:b/>
          <w:sz w:val="24"/>
          <w:szCs w:val="24"/>
        </w:rPr>
        <w:t xml:space="preserve">Advanta </w:t>
      </w:r>
      <w:r w:rsidRPr="00E61BAF">
        <w:rPr>
          <w:rFonts w:asciiTheme="minorHAnsi" w:hAnsiTheme="minorHAnsi" w:cstheme="minorHAnsi"/>
          <w:sz w:val="24"/>
          <w:szCs w:val="24"/>
        </w:rPr>
        <w:t xml:space="preserve">demuestra su firme compromiso con la comunidad ganadera, ofreciendo soluciones y conocimientos que van más allá de la semilla. A través de su presencia en la </w:t>
      </w:r>
      <w:r w:rsidRPr="001F7D96">
        <w:rPr>
          <w:rFonts w:asciiTheme="minorHAnsi" w:hAnsiTheme="minorHAnsi" w:cstheme="minorHAnsi"/>
          <w:b/>
          <w:sz w:val="24"/>
          <w:szCs w:val="24"/>
        </w:rPr>
        <w:t>Expo Nacional Angus de Primavera</w:t>
      </w:r>
      <w:r w:rsidRPr="00E61BAF">
        <w:rPr>
          <w:rFonts w:asciiTheme="minorHAnsi" w:hAnsiTheme="minorHAnsi" w:cstheme="minorHAnsi"/>
          <w:sz w:val="24"/>
          <w:szCs w:val="24"/>
        </w:rPr>
        <w:t xml:space="preserve"> y sus avances en tecnología agrícola, la compañía continúa impulsando el progreso en el sector agropecuario.</w:t>
      </w:r>
    </w:p>
    <w:p w14:paraId="6F488DC8" w14:textId="77777777" w:rsidR="005E13FF" w:rsidRPr="00E61BAF" w:rsidRDefault="005E13FF" w:rsidP="00E61BAF"/>
    <w:sectPr w:rsidR="005E13FF" w:rsidRPr="00E61BAF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CB222" w14:textId="77777777" w:rsidR="00967B19" w:rsidRDefault="00967B19" w:rsidP="00E728E0">
      <w:pPr>
        <w:spacing w:line="240" w:lineRule="auto"/>
      </w:pPr>
      <w:r>
        <w:separator/>
      </w:r>
    </w:p>
  </w:endnote>
  <w:endnote w:type="continuationSeparator" w:id="0">
    <w:p w14:paraId="704E659F" w14:textId="77777777" w:rsidR="00967B19" w:rsidRDefault="00967B19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73FC2" w14:textId="77777777" w:rsidR="00967B19" w:rsidRDefault="00967B19" w:rsidP="00E728E0">
      <w:pPr>
        <w:spacing w:line="240" w:lineRule="auto"/>
      </w:pPr>
      <w:r>
        <w:separator/>
      </w:r>
    </w:p>
  </w:footnote>
  <w:footnote w:type="continuationSeparator" w:id="0">
    <w:p w14:paraId="17FF8FAD" w14:textId="77777777" w:rsidR="00967B19" w:rsidRDefault="00967B19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A377D"/>
    <w:multiLevelType w:val="multilevel"/>
    <w:tmpl w:val="FE0CC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4393"/>
    <w:rsid w:val="00071E7E"/>
    <w:rsid w:val="00086748"/>
    <w:rsid w:val="000C3075"/>
    <w:rsid w:val="000C53EA"/>
    <w:rsid w:val="00117812"/>
    <w:rsid w:val="00133D94"/>
    <w:rsid w:val="00137523"/>
    <w:rsid w:val="00144DF5"/>
    <w:rsid w:val="00152E94"/>
    <w:rsid w:val="00163FFA"/>
    <w:rsid w:val="001C4F80"/>
    <w:rsid w:val="001F7D96"/>
    <w:rsid w:val="00205640"/>
    <w:rsid w:val="0022653E"/>
    <w:rsid w:val="0026279D"/>
    <w:rsid w:val="002A0A7C"/>
    <w:rsid w:val="002A7C44"/>
    <w:rsid w:val="002E5CD2"/>
    <w:rsid w:val="00304E8C"/>
    <w:rsid w:val="003066A3"/>
    <w:rsid w:val="00345AAB"/>
    <w:rsid w:val="003469FF"/>
    <w:rsid w:val="003D6B52"/>
    <w:rsid w:val="003D6DF2"/>
    <w:rsid w:val="003D7533"/>
    <w:rsid w:val="003F382D"/>
    <w:rsid w:val="00454E23"/>
    <w:rsid w:val="00461B7F"/>
    <w:rsid w:val="004C6D10"/>
    <w:rsid w:val="004D3374"/>
    <w:rsid w:val="004D7382"/>
    <w:rsid w:val="004E1824"/>
    <w:rsid w:val="005342D9"/>
    <w:rsid w:val="005476A2"/>
    <w:rsid w:val="005E13FF"/>
    <w:rsid w:val="00612F9F"/>
    <w:rsid w:val="006157F5"/>
    <w:rsid w:val="0062251E"/>
    <w:rsid w:val="00641EC9"/>
    <w:rsid w:val="00643947"/>
    <w:rsid w:val="00647691"/>
    <w:rsid w:val="00697E80"/>
    <w:rsid w:val="006B2CCA"/>
    <w:rsid w:val="006D6E48"/>
    <w:rsid w:val="006F6150"/>
    <w:rsid w:val="00716C48"/>
    <w:rsid w:val="007235C7"/>
    <w:rsid w:val="007305F7"/>
    <w:rsid w:val="00761D76"/>
    <w:rsid w:val="00771C10"/>
    <w:rsid w:val="0079012A"/>
    <w:rsid w:val="00794D9F"/>
    <w:rsid w:val="00795D95"/>
    <w:rsid w:val="007B1C27"/>
    <w:rsid w:val="007E3F61"/>
    <w:rsid w:val="007F5EAC"/>
    <w:rsid w:val="00812952"/>
    <w:rsid w:val="00815CFF"/>
    <w:rsid w:val="00826FF4"/>
    <w:rsid w:val="0084712B"/>
    <w:rsid w:val="0085148C"/>
    <w:rsid w:val="00852B13"/>
    <w:rsid w:val="00864B80"/>
    <w:rsid w:val="008C2659"/>
    <w:rsid w:val="008D7D65"/>
    <w:rsid w:val="008F6438"/>
    <w:rsid w:val="00933343"/>
    <w:rsid w:val="00960111"/>
    <w:rsid w:val="00960243"/>
    <w:rsid w:val="00967B19"/>
    <w:rsid w:val="009924B9"/>
    <w:rsid w:val="009931C9"/>
    <w:rsid w:val="009A401E"/>
    <w:rsid w:val="009F320D"/>
    <w:rsid w:val="009F3FC5"/>
    <w:rsid w:val="00A21F19"/>
    <w:rsid w:val="00A2497E"/>
    <w:rsid w:val="00A46A9F"/>
    <w:rsid w:val="00A50820"/>
    <w:rsid w:val="00A569F1"/>
    <w:rsid w:val="00A65E2E"/>
    <w:rsid w:val="00A86251"/>
    <w:rsid w:val="00AA3394"/>
    <w:rsid w:val="00AB7F61"/>
    <w:rsid w:val="00AD4E79"/>
    <w:rsid w:val="00AF02ED"/>
    <w:rsid w:val="00B76558"/>
    <w:rsid w:val="00B771D3"/>
    <w:rsid w:val="00BA268F"/>
    <w:rsid w:val="00BD0B09"/>
    <w:rsid w:val="00C26C29"/>
    <w:rsid w:val="00C63BD7"/>
    <w:rsid w:val="00C661C1"/>
    <w:rsid w:val="00CA6FFE"/>
    <w:rsid w:val="00CE5D5F"/>
    <w:rsid w:val="00CE77D0"/>
    <w:rsid w:val="00D33BD8"/>
    <w:rsid w:val="00D44200"/>
    <w:rsid w:val="00D512C0"/>
    <w:rsid w:val="00D853EC"/>
    <w:rsid w:val="00DC38A5"/>
    <w:rsid w:val="00E14CC4"/>
    <w:rsid w:val="00E25E6B"/>
    <w:rsid w:val="00E35079"/>
    <w:rsid w:val="00E5209F"/>
    <w:rsid w:val="00E5305F"/>
    <w:rsid w:val="00E61BAF"/>
    <w:rsid w:val="00E728E0"/>
    <w:rsid w:val="00E7315D"/>
    <w:rsid w:val="00E73F7C"/>
    <w:rsid w:val="00EA409C"/>
    <w:rsid w:val="00EC4BAA"/>
    <w:rsid w:val="00ED36B6"/>
    <w:rsid w:val="00EE74EB"/>
    <w:rsid w:val="00F04603"/>
    <w:rsid w:val="00F71FDE"/>
    <w:rsid w:val="00F878D5"/>
    <w:rsid w:val="00FD41FD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1C9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2">
    <w:name w:val="heading 2"/>
    <w:basedOn w:val="Normal"/>
    <w:next w:val="Normal"/>
    <w:link w:val="Ttulo2Car"/>
    <w:rsid w:val="00EC4BA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EC4BAA"/>
    <w:rPr>
      <w:rFonts w:ascii="Arial" w:eastAsia="Arial" w:hAnsi="Arial" w:cs="Arial"/>
      <w:sz w:val="32"/>
      <w:szCs w:val="32"/>
      <w:lang w:eastAsia="es-AR"/>
    </w:rPr>
  </w:style>
  <w:style w:type="paragraph" w:customStyle="1" w:styleId="xmsonormal">
    <w:name w:val="x_msonormal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5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86934-EF7F-4AF3-90F4-A3F1CF6DEB71}">
  <ds:schemaRefs>
    <ds:schemaRef ds:uri="http://purl.org/dc/terms/"/>
    <ds:schemaRef ds:uri="http://purl.org/dc/elements/1.1/"/>
    <ds:schemaRef ds:uri="d24e3aec-322b-40d6-846f-3ce85be438ee"/>
    <ds:schemaRef ds:uri="http://schemas.microsoft.com/office/infopath/2007/PartnerControls"/>
    <ds:schemaRef ds:uri="8ea0c7a9-7812-4ab2-837e-97a9ce7f45b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3AB9CD-ECC9-4E73-A1C8-353CEF85D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5126B-A67F-4B8C-AF3F-3199956D6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2023-09-04T19:28:00Z</dcterms:created>
  <dcterms:modified xsi:type="dcterms:W3CDTF">2023-09-04T19:28:00Z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  <property fmtid="{D5CDD505-2E9C-101B-9397-08002B2CF9AE}" pid="3" name="TitusGUID">
    <vt:lpwstr>e116b13f-2f8d-4c29-bc9d-343c56b6ffe4</vt:lpwstr>
  </property>
  <property fmtid="{D5CDD505-2E9C-101B-9397-08002B2CF9AE}" pid="4" name="Classification">
    <vt:lpwstr>t_class_1</vt:lpwstr>
  </property>
</Properties>
</file>