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Una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apuesta a la oferta más amplia y competitiva en financiamiento para la producción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Durante la apertura de su stand en Expoagro 2025, Banco Nación anunció un incremento del 30% en su oferta para concretar negocios durante la muestra. Del acto institucional participaron Daniel Tillard, presidente de la entidad; Guillermo Francos, jefe de Gabinete de Ministros de la Nación; Sergio Iraeta, secretario de Agricultura, Ganadería y Pesca; y Rogelio Frigerio, gobernador de Entre Ríos.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05"/>
        </w:tabs>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Banco Nación redobla la apuesta en Expoagro 2025 con tasas diferenciales para la compra de maquinaria agrícola nueva, que parten del 9% para Entre Ríos y del 15% para Santa Fe, provincias con las que estableció convenios especiales. Además, a través de su tarjeta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AgroNación ofrecerá más de 250 alianzas comerciales a tasa cero.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inauguración de su stand, en el Predio ferial y autódromo de San Nicolás, donde se realiza Expoagro 2025 edición YPF Agro, Daniel Tillard, presidente del Banco Nación anunció: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año trajimos más de mil convenios con fabricantes y vendedores, lo que significa un 30% más que el año pasado; nuestra oferta es excepcional”. A la vez, destacó que “el financiamiento para la maquinaria agrícola nueva va desde el 15%, que es una tasa de interés como no había hace muchos años en Argentina”, señaló Tillard.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relación a la articulación con las provincias, el presidente del BNA destacó que “en los convenios que tenemos con Entre Ríos y Santa Fe, que incluyen aportes de tasa por parte de las provincias y en algunos casos también una liberación del impuesto a los ingresos brutos, tenemos tasas que van desde el 9%, lo que constituye un hito”.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Expresando su visión respecto del rol de la entidad en el contexto político, Tillard afirmó que “nos enfocamos en cumplir con el mandato del presidente Javier Milei, esto es terminar con la inflación, y eso implica abundancia de crédito y un crecimiento sostenido, no solo del sector productivo, sino de toda la cadena que conforma la economía que hoy tiene presencia en Expoagro”.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respecto a las expectativas en esta edición de la Capital Nacional de los Agronegocios, Tillard señaló: “Tenemos un enorme optimismo porque han confluido diversas circunstancias que hacen que este año haya una buena cosecha y esa es la expectativa con la cual nosotros pensamos redoblar nuestras ventas en la exposición”, auguró el titular del Banco Nación.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relación al futuro de la institución, su titular explicó que “nuestro banco está en un proceso de transformación en sociedad anónima, lo que nos permitirá ser mucho más transparentes y eficientes”. Al respecto comentó que en 2024 el Nación no solo lideró el sistema financiero, sino que lo acrecentó un 7% en participación de mercado de préstamos, lo que ha sido una tarea extraordinaria de todo el equipo del banco.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su parte, Guillermo Francos, Jefe de Gabinete de Ministros de la Nación, enfatizó que el crecimiento del banco está ligado a la estabilidad y el crecimiento de la Argentina. “Ha quedado demostrado que la inflación ha ido a la baja y eso tiene como resultado el crecimiento”, sostuvo. Al respecto agregó que “el año pasado en este predio se hicieron negocios por 2 mil millones de dólares y el banco hizo negocios por 200 millones de dólares, es decir el 10% de los negocios totales, con la convicción de que se multipliquen este año”.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esta importante oferta de productos y facilidades para la compra de bienes y servicios, Banco Nación ratifica su presencia en la muestra y su firme decisión de acompañar al sector agropecuario, reforzando su asistencia crediticia para potenciar el desarrollo de un sector estratégico de la economía.</w:t>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7535" cy="128963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7535" cy="128963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B951ED"/>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2664D6"/>
    <w:pPr>
      <w:ind w:left="720"/>
      <w:contextualSpacing w:val="1"/>
    </w:pPr>
  </w:style>
  <w:style w:type="paragraph" w:styleId="paragraph" w:customStyle="1">
    <w:name w:val="paragraph"/>
    <w:basedOn w:val="Normal"/>
    <w:rsid w:val="005362AF"/>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uentedeprrafopredeter"/>
    <w:rsid w:val="005362AF"/>
  </w:style>
  <w:style w:type="character" w:styleId="eop" w:customStyle="1">
    <w:name w:val="eop"/>
    <w:basedOn w:val="Fuentedeprrafopredeter"/>
    <w:rsid w:val="005362AF"/>
  </w:style>
  <w:style w:type="character" w:styleId="Ttulo2Car" w:customStyle="1">
    <w:name w:val="Título 2 Car"/>
    <w:basedOn w:val="Fuentedeprrafopredeter"/>
    <w:link w:val="Ttulo2"/>
    <w:uiPriority w:val="9"/>
    <w:rsid w:val="00B951ED"/>
    <w:rPr>
      <w:rFonts w:asciiTheme="majorHAnsi" w:cstheme="majorBidi" w:eastAsiaTheme="majorEastAsia" w:hAnsiTheme="majorHAnsi"/>
      <w:color w:val="2e74b5" w:themeColor="accent1" w:themeShade="0000BF"/>
      <w:sz w:val="26"/>
      <w:szCs w:val="26"/>
      <w:lang w:eastAsia="es-AR"/>
    </w:rPr>
  </w:style>
  <w:style w:type="paragraph" w:styleId="xmsonormal" w:customStyle="1">
    <w:name w:val="x_msonormal"/>
    <w:basedOn w:val="Normal"/>
    <w:rsid w:val="00B951ED"/>
    <w:pPr>
      <w:spacing w:after="0" w:line="240" w:lineRule="auto"/>
    </w:pPr>
  </w:style>
  <w:style w:type="character" w:styleId="contentpasted0" w:customStyle="1">
    <w:name w:val="contentpasted0"/>
    <w:basedOn w:val="Fuentedeprrafopredeter"/>
    <w:rsid w:val="00B951ED"/>
  </w:style>
  <w:style w:type="character" w:styleId="Hipervnculo">
    <w:name w:val="Hyperlink"/>
    <w:basedOn w:val="Fuentedeprrafopredeter"/>
    <w:uiPriority w:val="99"/>
    <w:unhideWhenUsed w:val="1"/>
    <w:rsid w:val="00B951ED"/>
    <w:rPr>
      <w:color w:val="0563c1" w:themeColor="hyperlink"/>
      <w:u w:val="single"/>
    </w:rPr>
  </w:style>
  <w:style w:type="character" w:styleId="Mencinsinresolver">
    <w:name w:val="Unresolved Mention"/>
    <w:basedOn w:val="Fuentedeprrafopredeter"/>
    <w:uiPriority w:val="99"/>
    <w:semiHidden w:val="1"/>
    <w:unhideWhenUsed w:val="1"/>
    <w:rsid w:val="00A756A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F7A4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wdb7CcPR23Bm57WZrJgily8Rg==">CgMxLjAyCGguZ2pkZ3hzOAByITFlcGlaOEd1R3ZJeUduRXpndDJjVGE0X3pCaHIwSG1GaA==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2025-03-11T15:12:00Z</dcterms:created>
  <dc:creator>ANYI</dc:creator>
</cp:coreProperties>
</file>