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764C" w14:textId="77777777" w:rsidR="006E652F" w:rsidRPr="003B56B8" w:rsidRDefault="006E652F" w:rsidP="006E652F">
      <w:pPr>
        <w:spacing w:after="160" w:line="259" w:lineRule="auto"/>
        <w:jc w:val="center"/>
        <w:rPr>
          <w:rFonts w:asciiTheme="minorHAnsi" w:eastAsia="Open Sans" w:hAnsiTheme="minorHAnsi" w:cstheme="minorHAnsi"/>
          <w:b/>
          <w:sz w:val="24"/>
          <w:szCs w:val="24"/>
        </w:rPr>
      </w:pPr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Banco Macro, presente en la Exposición Nacional de Primavera </w:t>
      </w:r>
      <w:proofErr w:type="spellStart"/>
      <w:r w:rsidRPr="003B56B8">
        <w:rPr>
          <w:rFonts w:asciiTheme="minorHAnsi" w:eastAsia="Open Sans" w:hAnsiTheme="minorHAnsi" w:cstheme="minorHAnsi"/>
          <w:b/>
          <w:sz w:val="24"/>
          <w:szCs w:val="24"/>
        </w:rPr>
        <w:t>Braford</w:t>
      </w:r>
      <w:proofErr w:type="spellEnd"/>
    </w:p>
    <w:p w14:paraId="7F9425A3" w14:textId="77777777" w:rsidR="006E652F" w:rsidRPr="003B56B8" w:rsidRDefault="006E652F" w:rsidP="006E652F">
      <w:pPr>
        <w:shd w:val="clear" w:color="auto" w:fill="FFFFFF"/>
        <w:jc w:val="center"/>
        <w:rPr>
          <w:rFonts w:asciiTheme="minorHAnsi" w:eastAsia="Open Sans" w:hAnsiTheme="minorHAnsi" w:cstheme="minorHAnsi"/>
          <w:i/>
          <w:iCs/>
          <w:sz w:val="24"/>
          <w:szCs w:val="24"/>
        </w:rPr>
      </w:pPr>
      <w:r w:rsidRPr="003B56B8">
        <w:rPr>
          <w:rFonts w:asciiTheme="minorHAnsi" w:eastAsia="Open Sans" w:hAnsiTheme="minorHAnsi" w:cstheme="minorHAnsi"/>
          <w:b/>
          <w:i/>
          <w:iCs/>
          <w:sz w:val="24"/>
          <w:szCs w:val="24"/>
        </w:rPr>
        <w:t>La entidad</w:t>
      </w:r>
      <w:r w:rsidRPr="003B56B8">
        <w:rPr>
          <w:rFonts w:asciiTheme="minorHAnsi" w:eastAsia="Open Sans" w:hAnsiTheme="minorHAnsi" w:cstheme="minorHAnsi"/>
          <w:i/>
          <w:iCs/>
          <w:sz w:val="24"/>
          <w:szCs w:val="24"/>
        </w:rPr>
        <w:t xml:space="preserve"> participa en la primera edición que se desarrolla en la </w:t>
      </w:r>
      <w:r w:rsidRPr="003B56B8">
        <w:rPr>
          <w:rFonts w:asciiTheme="minorHAnsi" w:eastAsia="Open Sans" w:hAnsiTheme="minorHAnsi" w:cstheme="minorHAnsi"/>
          <w:b/>
          <w:i/>
          <w:iCs/>
          <w:sz w:val="24"/>
          <w:szCs w:val="24"/>
        </w:rPr>
        <w:t xml:space="preserve">Sociedad Rural de Chaco </w:t>
      </w:r>
      <w:r w:rsidRPr="003B56B8">
        <w:rPr>
          <w:rFonts w:asciiTheme="minorHAnsi" w:eastAsia="Open Sans" w:hAnsiTheme="minorHAnsi" w:cstheme="minorHAnsi"/>
          <w:i/>
          <w:iCs/>
          <w:sz w:val="24"/>
          <w:szCs w:val="24"/>
        </w:rPr>
        <w:t xml:space="preserve">en </w:t>
      </w:r>
      <w:r w:rsidRPr="003B56B8">
        <w:rPr>
          <w:rFonts w:asciiTheme="minorHAnsi" w:eastAsia="Open Sans" w:hAnsiTheme="minorHAnsi" w:cstheme="minorHAnsi"/>
          <w:b/>
          <w:i/>
          <w:iCs/>
          <w:sz w:val="24"/>
          <w:szCs w:val="24"/>
        </w:rPr>
        <w:t>Margarita Belén,</w:t>
      </w:r>
      <w:r w:rsidRPr="003B56B8">
        <w:rPr>
          <w:rFonts w:asciiTheme="minorHAnsi" w:eastAsia="Open Sans" w:hAnsiTheme="minorHAnsi" w:cstheme="minorHAnsi"/>
          <w:i/>
          <w:iCs/>
          <w:sz w:val="24"/>
          <w:szCs w:val="24"/>
        </w:rPr>
        <w:t xml:space="preserve"> entre el 7 y el 9 de octubre.</w:t>
      </w:r>
    </w:p>
    <w:p w14:paraId="7174CADC" w14:textId="77777777" w:rsidR="006E652F" w:rsidRPr="003B56B8" w:rsidRDefault="006E652F" w:rsidP="006E652F">
      <w:pPr>
        <w:shd w:val="clear" w:color="auto" w:fill="FFFFFF"/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28974273" w14:textId="77777777" w:rsidR="006E652F" w:rsidRPr="003B56B8" w:rsidRDefault="006E652F" w:rsidP="006E652F">
      <w:pPr>
        <w:spacing w:after="160"/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La Exposición Nacional de Primavera </w:t>
      </w:r>
      <w:proofErr w:type="spellStart"/>
      <w:r w:rsidRPr="003B56B8">
        <w:rPr>
          <w:rFonts w:asciiTheme="minorHAnsi" w:eastAsia="Open Sans" w:hAnsiTheme="minorHAnsi" w:cstheme="minorHAnsi"/>
          <w:b/>
          <w:sz w:val="24"/>
          <w:szCs w:val="24"/>
        </w:rPr>
        <w:t>Braford</w:t>
      </w:r>
      <w:proofErr w:type="spellEnd"/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 es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organizada por la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Asociación </w:t>
      </w:r>
      <w:proofErr w:type="spellStart"/>
      <w:r w:rsidRPr="003B56B8">
        <w:rPr>
          <w:rFonts w:asciiTheme="minorHAnsi" w:eastAsia="Open Sans" w:hAnsiTheme="minorHAnsi" w:cstheme="minorHAnsi"/>
          <w:b/>
          <w:sz w:val="24"/>
          <w:szCs w:val="24"/>
        </w:rPr>
        <w:t>Braford</w:t>
      </w:r>
      <w:proofErr w:type="spellEnd"/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 Argentina 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con la fuerza de Expoagro y cuenta con el apoyo 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Banco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reafirmando su compromiso con el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desarrollo del campo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y los productores agropecuarios argentinos.</w:t>
      </w:r>
    </w:p>
    <w:p w14:paraId="4DDCF83D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Desde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Banco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se busca acercar a los clientes con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soluciones financieras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acordes a sus necesidades de capital de trabajo e inversión.</w:t>
      </w:r>
    </w:p>
    <w:p w14:paraId="312C1A6C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</w:t>
      </w:r>
    </w:p>
    <w:p w14:paraId="03FE680C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b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Con más 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600 acuerdos 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con las principales empresas vendedoras de insumos agrícolas, consignatarias de hacienda y fabricantes de maquinaria agrícola e implementos, se ofrece a los productores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líneas de crédito que se ajustan a su ciclo productivo.</w:t>
      </w:r>
    </w:p>
    <w:p w14:paraId="51EA3A6C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21D02591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Además, se desarrollan herramientas que facilitan la gestión diaria del productor y de toda la cadena productiva. </w:t>
      </w:r>
    </w:p>
    <w:p w14:paraId="493DE778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66E5BE7C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Un ejemplo de ello es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Red Agro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, una solución digital que permite a las empresas vendedoras de insumos y consignatarias de hacienda ofrecer financiación a sus clientes y cobrar de contado, facilitando la gestión de sus negocios. </w:t>
      </w:r>
    </w:p>
    <w:p w14:paraId="16C9775D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49F4D5DE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El productor ingresando desde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App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aprueba el préstamo y se liquida inmediatamente la financiación. Sin necesidad de ir a la sucursal, de forma rápida y ágil.</w:t>
      </w:r>
    </w:p>
    <w:p w14:paraId="50BD907F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135D32BA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Además, con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Crédito Simple Agro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los productores pueden gestionar su calificación crediticia en muy pocos pasos a través 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App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>.</w:t>
      </w:r>
    </w:p>
    <w:p w14:paraId="796FD432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522C7F12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Con la documentación necesaria y de manera </w:t>
      </w:r>
      <w:proofErr w:type="spellStart"/>
      <w:r w:rsidRPr="003B56B8">
        <w:rPr>
          <w:rFonts w:asciiTheme="minorHAnsi" w:eastAsia="Open Sans" w:hAnsiTheme="minorHAnsi" w:cstheme="minorHAnsi"/>
          <w:sz w:val="24"/>
          <w:szCs w:val="24"/>
        </w:rPr>
        <w:t>on</w:t>
      </w:r>
      <w:proofErr w:type="spellEnd"/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line, el cliente puede aumentar su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calificación crediticia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y de forma inmediata disponer de líneas de crédito para realizar sus compras tanto de insumos, hacienda, repuestos de maquinaria como para un préstamo prendario para la compra de maquinaria.</w:t>
      </w:r>
    </w:p>
    <w:p w14:paraId="1013A797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</w:t>
      </w:r>
    </w:p>
    <w:p w14:paraId="5D10FB5C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La propuesta integral 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Banco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incluye también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Macro Agro corredora de granos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, para que el productor encuentre las mejores condiciones para comercializar su producción. </w:t>
      </w:r>
    </w:p>
    <w:p w14:paraId="6F87D867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4985DB68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sz w:val="24"/>
          <w:szCs w:val="24"/>
        </w:rPr>
        <w:lastRenderedPageBreak/>
        <w:t xml:space="preserve">Con más de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500 sucursales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distribuidas en todo el país, </w:t>
      </w:r>
      <w:r w:rsidRPr="003B56B8">
        <w:rPr>
          <w:rFonts w:asciiTheme="minorHAnsi" w:eastAsia="Open Sans" w:hAnsiTheme="minorHAnsi" w:cstheme="minorHAnsi"/>
          <w:b/>
          <w:sz w:val="24"/>
          <w:szCs w:val="24"/>
        </w:rPr>
        <w:t>Banco Macro</w:t>
      </w:r>
      <w:r w:rsidRPr="003B56B8">
        <w:rPr>
          <w:rFonts w:asciiTheme="minorHAnsi" w:eastAsia="Open Sans" w:hAnsiTheme="minorHAnsi" w:cstheme="minorHAnsi"/>
          <w:sz w:val="24"/>
          <w:szCs w:val="24"/>
        </w:rPr>
        <w:t xml:space="preserve"> es la entidad más federal, con oficiales de cuentas especializados que acompañan a los clientes con soluciones integrales de financiación para el productor agropecuario, apoyando su crecimiento. </w:t>
      </w:r>
    </w:p>
    <w:p w14:paraId="2F3F0584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1FC35F8A" w14:textId="77777777" w:rsidR="006E652F" w:rsidRPr="003B56B8" w:rsidRDefault="006E652F" w:rsidP="006E652F">
      <w:pPr>
        <w:jc w:val="both"/>
        <w:rPr>
          <w:rFonts w:asciiTheme="minorHAnsi" w:eastAsia="Open Sans" w:hAnsiTheme="minorHAnsi" w:cstheme="minorHAnsi"/>
          <w:sz w:val="24"/>
          <w:szCs w:val="24"/>
        </w:rPr>
      </w:pPr>
    </w:p>
    <w:p w14:paraId="2534E8A8" w14:textId="77777777" w:rsidR="006E652F" w:rsidRPr="003B56B8" w:rsidRDefault="006E652F" w:rsidP="006E652F">
      <w:pPr>
        <w:shd w:val="clear" w:color="auto" w:fill="FFFFFF"/>
        <w:jc w:val="both"/>
        <w:rPr>
          <w:rFonts w:asciiTheme="minorHAnsi" w:eastAsia="Open Sans" w:hAnsiTheme="minorHAnsi" w:cstheme="minorHAnsi"/>
          <w:sz w:val="24"/>
          <w:szCs w:val="24"/>
        </w:rPr>
      </w:pPr>
      <w:r w:rsidRPr="003B56B8">
        <w:rPr>
          <w:rFonts w:asciiTheme="minorHAnsi" w:eastAsia="Open Sans" w:hAnsiTheme="minorHAnsi" w:cstheme="minorHAnsi"/>
          <w:b/>
          <w:sz w:val="24"/>
          <w:szCs w:val="24"/>
        </w:rPr>
        <w:t xml:space="preserve">Acerca de Banco Macro: </w:t>
      </w:r>
      <w:r w:rsidRPr="003B56B8">
        <w:rPr>
          <w:rFonts w:asciiTheme="minorHAnsi" w:eastAsia="Open Sans" w:hAnsiTheme="minorHAnsi" w:cstheme="minorHAnsi"/>
          <w:sz w:val="24"/>
          <w:szCs w:val="24"/>
        </w:rPr>
        <w:t>Banco Macro cuenta con 8.785 colaboradores, 2.067 cajeros automáticos, 981 terminales de autoservicio y una estructura de 558 puntos de atención, siendo actualmente el banco privado con mayor red de sucursales a lo largo del país.</w:t>
      </w:r>
    </w:p>
    <w:p w14:paraId="762940EB" w14:textId="0B893D2D" w:rsidR="0076313E" w:rsidRPr="003B56B8" w:rsidRDefault="00C729E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3B56B8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</w:p>
    <w:sectPr w:rsidR="0076313E" w:rsidRPr="003B56B8" w:rsidSect="001E3088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5AC7" w14:textId="77777777" w:rsidR="007A2493" w:rsidRDefault="007A2493" w:rsidP="00061E7D">
      <w:pPr>
        <w:spacing w:line="240" w:lineRule="auto"/>
      </w:pPr>
      <w:r>
        <w:separator/>
      </w:r>
    </w:p>
  </w:endnote>
  <w:endnote w:type="continuationSeparator" w:id="0">
    <w:p w14:paraId="42B7FD58" w14:textId="77777777" w:rsidR="007A2493" w:rsidRDefault="007A2493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2BD5" w14:textId="77777777" w:rsidR="007A2493" w:rsidRDefault="007A2493" w:rsidP="00061E7D">
      <w:pPr>
        <w:spacing w:line="240" w:lineRule="auto"/>
      </w:pPr>
      <w:r>
        <w:separator/>
      </w:r>
    </w:p>
  </w:footnote>
  <w:footnote w:type="continuationSeparator" w:id="0">
    <w:p w14:paraId="2AB10233" w14:textId="77777777" w:rsidR="007A2493" w:rsidRDefault="007A2493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93D03"/>
    <w:rsid w:val="000E0810"/>
    <w:rsid w:val="001E3088"/>
    <w:rsid w:val="002021C1"/>
    <w:rsid w:val="00205D5F"/>
    <w:rsid w:val="00372F04"/>
    <w:rsid w:val="003B56B8"/>
    <w:rsid w:val="00426C74"/>
    <w:rsid w:val="004E1E1D"/>
    <w:rsid w:val="005B0833"/>
    <w:rsid w:val="005B2DDD"/>
    <w:rsid w:val="006424D1"/>
    <w:rsid w:val="006E652F"/>
    <w:rsid w:val="0076313E"/>
    <w:rsid w:val="007A2493"/>
    <w:rsid w:val="007B4D24"/>
    <w:rsid w:val="007B6989"/>
    <w:rsid w:val="007F3413"/>
    <w:rsid w:val="0081468D"/>
    <w:rsid w:val="008D4F33"/>
    <w:rsid w:val="008E6492"/>
    <w:rsid w:val="00906E6D"/>
    <w:rsid w:val="0093622E"/>
    <w:rsid w:val="009967C6"/>
    <w:rsid w:val="00A4592C"/>
    <w:rsid w:val="00AC5F47"/>
    <w:rsid w:val="00AC6B18"/>
    <w:rsid w:val="00B11F3D"/>
    <w:rsid w:val="00BA3470"/>
    <w:rsid w:val="00BB2C8F"/>
    <w:rsid w:val="00C729E3"/>
    <w:rsid w:val="00C91FC8"/>
    <w:rsid w:val="00D0478D"/>
    <w:rsid w:val="00D42D17"/>
    <w:rsid w:val="00D63733"/>
    <w:rsid w:val="00D86870"/>
    <w:rsid w:val="00DC0E28"/>
    <w:rsid w:val="00DE221F"/>
    <w:rsid w:val="00E2074E"/>
    <w:rsid w:val="00E77CB1"/>
    <w:rsid w:val="00F44E10"/>
    <w:rsid w:val="00F616BA"/>
    <w:rsid w:val="00F62BA1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2F"/>
    <w:pPr>
      <w:spacing w:after="0" w:line="276" w:lineRule="auto"/>
    </w:pPr>
    <w:rPr>
      <w:rFonts w:ascii="Arial" w:eastAsia="Arial" w:hAnsi="Arial" w:cs="Arial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3</cp:revision>
  <dcterms:created xsi:type="dcterms:W3CDTF">2025-10-06T15:31:00Z</dcterms:created>
  <dcterms:modified xsi:type="dcterms:W3CDTF">2025-10-06T17:08:00Z</dcterms:modified>
</cp:coreProperties>
</file>