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555E5" w14:textId="77777777" w:rsidR="00F16E25" w:rsidRPr="00F16E25" w:rsidRDefault="00F16E25" w:rsidP="0076395C">
      <w:pPr>
        <w:pStyle w:val="NormalWeb"/>
        <w:spacing w:line="276" w:lineRule="auto"/>
        <w:jc w:val="center"/>
        <w:rPr>
          <w:rFonts w:asciiTheme="minorHAnsi" w:hAnsiTheme="minorHAnsi" w:cstheme="minorHAnsi"/>
          <w:b/>
          <w:bCs/>
          <w:sz w:val="32"/>
          <w:szCs w:val="32"/>
        </w:rPr>
      </w:pPr>
      <w:r w:rsidRPr="00F16E25">
        <w:rPr>
          <w:rFonts w:asciiTheme="minorHAnsi" w:hAnsiTheme="minorHAnsi" w:cstheme="minorHAnsi"/>
          <w:b/>
          <w:bCs/>
          <w:sz w:val="32"/>
          <w:szCs w:val="32"/>
        </w:rPr>
        <w:t>CDV apuesta a la prevención para potenciar la ganadería</w:t>
      </w:r>
    </w:p>
    <w:p w14:paraId="0C3DF7C9" w14:textId="4F0A268A" w:rsidR="0076395C" w:rsidRPr="0076395C" w:rsidRDefault="0076395C" w:rsidP="0076395C">
      <w:pPr>
        <w:pStyle w:val="NormalWeb"/>
        <w:spacing w:line="276" w:lineRule="auto"/>
        <w:jc w:val="center"/>
        <w:rPr>
          <w:rFonts w:asciiTheme="minorHAnsi" w:hAnsiTheme="minorHAnsi" w:cstheme="minorHAnsi"/>
          <w:i/>
          <w:iCs/>
        </w:rPr>
      </w:pPr>
      <w:r w:rsidRPr="0076395C">
        <w:rPr>
          <w:rFonts w:asciiTheme="minorHAnsi" w:hAnsiTheme="minorHAnsi" w:cstheme="minorHAnsi"/>
          <w:i/>
          <w:iCs/>
        </w:rPr>
        <w:t>El laboratorio argentino, referente en sanidad animal y con fuerte presencia a nivel nacional e internacional, participará de una nueva edición de las NACIONALES en Corrientes, acercando su experiencia, innovación y soluciones preventivas para potenciar la productividad ganadera.</w:t>
      </w:r>
    </w:p>
    <w:p w14:paraId="405796B6"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 xml:space="preserve">Del 24 al 29 de mayo, se exhibirá la mejor genética de las razas </w:t>
      </w:r>
      <w:proofErr w:type="spellStart"/>
      <w:r w:rsidRPr="0076395C">
        <w:rPr>
          <w:rFonts w:asciiTheme="minorHAnsi" w:hAnsiTheme="minorHAnsi" w:cstheme="minorHAnsi"/>
        </w:rPr>
        <w:t>Braford</w:t>
      </w:r>
      <w:proofErr w:type="spellEnd"/>
      <w:r w:rsidRPr="0076395C">
        <w:rPr>
          <w:rFonts w:asciiTheme="minorHAnsi" w:hAnsiTheme="minorHAnsi" w:cstheme="minorHAnsi"/>
        </w:rPr>
        <w:t xml:space="preserve">, </w:t>
      </w:r>
      <w:proofErr w:type="spellStart"/>
      <w:r w:rsidRPr="0076395C">
        <w:rPr>
          <w:rFonts w:asciiTheme="minorHAnsi" w:hAnsiTheme="minorHAnsi" w:cstheme="minorHAnsi"/>
        </w:rPr>
        <w:t>Brangus</w:t>
      </w:r>
      <w:proofErr w:type="spellEnd"/>
      <w:r w:rsidRPr="0076395C">
        <w:rPr>
          <w:rFonts w:asciiTheme="minorHAnsi" w:hAnsiTheme="minorHAnsi" w:cstheme="minorHAnsi"/>
        </w:rPr>
        <w:t>, Brahman y Caballos Criollos, acompañada de una destacada vidriera comercial y una completa grilla de actividades que incluirá juras, remates y jornadas técnicas.</w:t>
      </w:r>
    </w:p>
    <w:p w14:paraId="7B3DA2E6"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Con la fuerza de Expoagro, las NACIONALES prometen ser el epicentro de la ganadería argentina. En este marco, CDV pondrá el foco en el rol clave de la prevención sanitaria, especialmente a través de la vacunación frente a enfermedades de alto impacto productivo como las enfermedades clostridiales, reproductivas, respiratorias, diarrea neonatal y la brucelosis. Generar conciencia sobre la prevención sanitaria es clave: se trata de una inversión que se recupera en kilos de carne o litros de leche producidos. A modo de ejemplo, con lo que se pierde por la muerte de un solo ternero, se pueden pagar hasta 90 planes sanitarios preventivos completos de cría para la vaca, el toro y el ternero.</w:t>
      </w:r>
    </w:p>
    <w:p w14:paraId="069F4925" w14:textId="77777777" w:rsidR="0076395C" w:rsidRPr="00F16E25" w:rsidRDefault="0076395C" w:rsidP="0076395C">
      <w:pPr>
        <w:pStyle w:val="Ttulo3"/>
        <w:spacing w:line="276" w:lineRule="auto"/>
        <w:jc w:val="both"/>
        <w:rPr>
          <w:rFonts w:asciiTheme="minorHAnsi" w:hAnsiTheme="minorHAnsi" w:cstheme="minorHAnsi"/>
          <w:b/>
          <w:bCs/>
          <w:color w:val="auto"/>
        </w:rPr>
      </w:pPr>
      <w:r w:rsidRPr="00F16E25">
        <w:rPr>
          <w:rFonts w:asciiTheme="minorHAnsi" w:hAnsiTheme="minorHAnsi" w:cstheme="minorHAnsi"/>
          <w:b/>
          <w:bCs/>
          <w:color w:val="auto"/>
        </w:rPr>
        <w:t>La prevención como eje productivo en la ganadería moderna</w:t>
      </w:r>
    </w:p>
    <w:p w14:paraId="27C5C006"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A lo largo de la muestra, técnicos especializados del laboratorio brindarán asesoramiento personalizado a veterinarios y productores de todo el país, fortaleciendo el vínculo directo con el campo y acompañando el diseño de estrategias sanitarias adaptadas a cada sistema productivo.</w:t>
      </w:r>
    </w:p>
    <w:p w14:paraId="686466C4"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Asimismo, CDV ofrecerá nuevamente el servicio de Guardia Veterinaria para todos los animales presentes en la muestra, reafirmando su compromiso con la sanidad y el bienestar animal durante toda la exposición.</w:t>
      </w:r>
    </w:p>
    <w:p w14:paraId="6EC75D12" w14:textId="77777777" w:rsidR="0076395C" w:rsidRPr="0076395C" w:rsidRDefault="0076395C" w:rsidP="0076395C">
      <w:pPr>
        <w:pStyle w:val="NormalWeb"/>
        <w:spacing w:line="276" w:lineRule="auto"/>
        <w:jc w:val="both"/>
        <w:rPr>
          <w:rFonts w:asciiTheme="minorHAnsi" w:hAnsiTheme="minorHAnsi" w:cstheme="minorHAnsi"/>
        </w:rPr>
      </w:pPr>
      <w:r w:rsidRPr="00F16E25">
        <w:rPr>
          <w:rFonts w:asciiTheme="minorHAnsi" w:hAnsiTheme="minorHAnsi" w:cstheme="minorHAnsi"/>
          <w:i/>
          <w:iCs/>
        </w:rPr>
        <w:t>“Estar presentes en las NACIONALES es una oportunidad para seguir cerca del productor, entendiendo sus desafíos y aportando soluciones concretas desde la prevención. La sanidad animal es un pilar estratégico para la productividad y la competitividad del país”,</w:t>
      </w:r>
      <w:r w:rsidRPr="0076395C">
        <w:rPr>
          <w:rFonts w:asciiTheme="minorHAnsi" w:hAnsiTheme="minorHAnsi" w:cstheme="minorHAnsi"/>
        </w:rPr>
        <w:t xml:space="preserve"> señaló </w:t>
      </w:r>
      <w:r w:rsidRPr="00F16E25">
        <w:rPr>
          <w:rFonts w:asciiTheme="minorHAnsi" w:hAnsiTheme="minorHAnsi" w:cstheme="minorHAnsi"/>
          <w:b/>
          <w:bCs/>
        </w:rPr>
        <w:t xml:space="preserve">Axel </w:t>
      </w:r>
      <w:proofErr w:type="spellStart"/>
      <w:r w:rsidRPr="00F16E25">
        <w:rPr>
          <w:rFonts w:asciiTheme="minorHAnsi" w:hAnsiTheme="minorHAnsi" w:cstheme="minorHAnsi"/>
          <w:b/>
          <w:bCs/>
        </w:rPr>
        <w:t>Mauhourat</w:t>
      </w:r>
      <w:proofErr w:type="spellEnd"/>
      <w:r w:rsidRPr="00F16E25">
        <w:rPr>
          <w:rFonts w:asciiTheme="minorHAnsi" w:hAnsiTheme="minorHAnsi" w:cstheme="minorHAnsi"/>
          <w:b/>
          <w:bCs/>
        </w:rPr>
        <w:t>, Coordinador de Servicio Técnico de CDV.</w:t>
      </w:r>
    </w:p>
    <w:p w14:paraId="714A5CA5"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 xml:space="preserve">Por su parte, </w:t>
      </w:r>
      <w:r w:rsidRPr="00F16E25">
        <w:rPr>
          <w:rFonts w:asciiTheme="minorHAnsi" w:hAnsiTheme="minorHAnsi" w:cstheme="minorHAnsi"/>
          <w:b/>
          <w:bCs/>
        </w:rPr>
        <w:t xml:space="preserve">Fernando </w:t>
      </w:r>
      <w:proofErr w:type="spellStart"/>
      <w:r w:rsidRPr="00F16E25">
        <w:rPr>
          <w:rFonts w:asciiTheme="minorHAnsi" w:hAnsiTheme="minorHAnsi" w:cstheme="minorHAnsi"/>
          <w:b/>
          <w:bCs/>
        </w:rPr>
        <w:t>Matticoli</w:t>
      </w:r>
      <w:proofErr w:type="spellEnd"/>
      <w:r w:rsidRPr="00F16E25">
        <w:rPr>
          <w:rFonts w:asciiTheme="minorHAnsi" w:hAnsiTheme="minorHAnsi" w:cstheme="minorHAnsi"/>
          <w:b/>
          <w:bCs/>
        </w:rPr>
        <w:t>, director comercial de la compañía</w:t>
      </w:r>
      <w:r w:rsidRPr="0076395C">
        <w:rPr>
          <w:rFonts w:asciiTheme="minorHAnsi" w:hAnsiTheme="minorHAnsi" w:cstheme="minorHAnsi"/>
        </w:rPr>
        <w:t xml:space="preserve">, destacó: </w:t>
      </w:r>
      <w:r w:rsidRPr="00F16E25">
        <w:rPr>
          <w:rFonts w:asciiTheme="minorHAnsi" w:hAnsiTheme="minorHAnsi" w:cstheme="minorHAnsi"/>
          <w:i/>
          <w:iCs/>
        </w:rPr>
        <w:t xml:space="preserve">“Estos espacios son clave desde lo comercial, porque nos permiten consolidar relaciones, </w:t>
      </w:r>
      <w:r w:rsidRPr="00F16E25">
        <w:rPr>
          <w:rFonts w:asciiTheme="minorHAnsi" w:hAnsiTheme="minorHAnsi" w:cstheme="minorHAnsi"/>
          <w:i/>
          <w:iCs/>
        </w:rPr>
        <w:lastRenderedPageBreak/>
        <w:t>generar nuevas oportunidades y seguir posicionando un portafolio que responde a las demandas actuales del sector, con innovación, calidad y respaldo técnico”.</w:t>
      </w:r>
    </w:p>
    <w:p w14:paraId="4CD10F5D"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Vale destacar que la compañía cuenta con uno de los portafolios más completos del mercado, con más de 50 productos orientados a múltiples especies, y una fuerte presencia en Argentina, donde participa con cerca del 25% del segmento de vacunas para grandes animales. A nivel global, exporta a más de 30 países y continúa avanzando en su proceso de expansión internacional.</w:t>
      </w:r>
    </w:p>
    <w:p w14:paraId="0B475282" w14:textId="77777777" w:rsidR="0076395C" w:rsidRPr="0076395C" w:rsidRDefault="0076395C" w:rsidP="0076395C">
      <w:pPr>
        <w:pStyle w:val="NormalWeb"/>
        <w:spacing w:line="276" w:lineRule="auto"/>
        <w:jc w:val="both"/>
        <w:rPr>
          <w:rFonts w:asciiTheme="minorHAnsi" w:hAnsiTheme="minorHAnsi" w:cstheme="minorHAnsi"/>
        </w:rPr>
      </w:pPr>
      <w:r w:rsidRPr="0076395C">
        <w:rPr>
          <w:rFonts w:asciiTheme="minorHAnsi" w:hAnsiTheme="minorHAnsi" w:cstheme="minorHAnsi"/>
        </w:rPr>
        <w:t>En la última década, la empresa superó los 150 millones de dólares en inversiones, destinadas a infraestructura productiva, tecnología de última generación y desarrollo de capacidades científicas. El laboratorio ha consolidado una creciente presencia global, exportando actualmente a más de 30 países y con otros mercados en proceso de registro como parte de su estrategia de crecimiento y expansión, certificando los más altos estándares de calidad a nivel mundial.</w:t>
      </w:r>
    </w:p>
    <w:p w14:paraId="552FE7F9" w14:textId="77777777" w:rsidR="00FA4E47" w:rsidRPr="0076395C" w:rsidRDefault="00FA4E47" w:rsidP="00BF2E05">
      <w:pPr>
        <w:jc w:val="both"/>
        <w:rPr>
          <w:rFonts w:asciiTheme="minorHAnsi" w:eastAsia="Calibri" w:hAnsiTheme="minorHAnsi" w:cstheme="minorHAnsi"/>
          <w:sz w:val="24"/>
          <w:szCs w:val="24"/>
          <w:highlight w:val="white"/>
          <w:lang w:val="es-AR"/>
        </w:rPr>
      </w:pPr>
    </w:p>
    <w:p w14:paraId="29E317EC" w14:textId="77777777" w:rsidR="00FA4E47" w:rsidRPr="00BF2E05" w:rsidRDefault="00FA4E47" w:rsidP="00BF2E05">
      <w:pPr>
        <w:jc w:val="both"/>
        <w:rPr>
          <w:rFonts w:asciiTheme="minorHAnsi" w:eastAsia="Calibri" w:hAnsiTheme="minorHAnsi" w:cstheme="minorHAnsi"/>
          <w:sz w:val="24"/>
          <w:szCs w:val="24"/>
        </w:rPr>
      </w:pPr>
    </w:p>
    <w:p w14:paraId="081971C2" w14:textId="77777777" w:rsidR="00FA4E47" w:rsidRPr="00BF2E05" w:rsidRDefault="00FA4E47" w:rsidP="00BF2E05">
      <w:pPr>
        <w:jc w:val="both"/>
        <w:rPr>
          <w:rFonts w:asciiTheme="minorHAnsi" w:hAnsiTheme="minorHAnsi" w:cstheme="minorHAnsi"/>
          <w:sz w:val="24"/>
          <w:szCs w:val="24"/>
        </w:rPr>
      </w:pPr>
    </w:p>
    <w:p w14:paraId="762940EB" w14:textId="68CDC649" w:rsidR="0076313E" w:rsidRPr="00BF2E05" w:rsidRDefault="0076313E" w:rsidP="00BF2E05">
      <w:pPr>
        <w:jc w:val="both"/>
        <w:rPr>
          <w:rFonts w:asciiTheme="minorHAnsi" w:hAnsiTheme="minorHAnsi" w:cstheme="minorHAnsi"/>
          <w:sz w:val="24"/>
          <w:szCs w:val="24"/>
        </w:rPr>
      </w:pPr>
    </w:p>
    <w:sectPr w:rsidR="0076313E" w:rsidRPr="00BF2E05"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9859" w14:textId="77777777" w:rsidR="004C67CF" w:rsidRDefault="004C67CF" w:rsidP="00061E7D">
      <w:pPr>
        <w:spacing w:line="240" w:lineRule="auto"/>
      </w:pPr>
      <w:r>
        <w:separator/>
      </w:r>
    </w:p>
  </w:endnote>
  <w:endnote w:type="continuationSeparator" w:id="0">
    <w:p w14:paraId="1C73AEF6" w14:textId="77777777" w:rsidR="004C67CF" w:rsidRDefault="004C67CF"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3F72" w14:textId="77777777" w:rsidR="004C67CF" w:rsidRDefault="004C67CF" w:rsidP="00061E7D">
      <w:pPr>
        <w:spacing w:line="240" w:lineRule="auto"/>
      </w:pPr>
      <w:r>
        <w:separator/>
      </w:r>
    </w:p>
  </w:footnote>
  <w:footnote w:type="continuationSeparator" w:id="0">
    <w:p w14:paraId="2301B1DC" w14:textId="77777777" w:rsidR="004C67CF" w:rsidRDefault="004C67CF"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4690"/>
    <w:rsid w:val="00061E7D"/>
    <w:rsid w:val="00064C5B"/>
    <w:rsid w:val="00093D03"/>
    <w:rsid w:val="000E0810"/>
    <w:rsid w:val="000F351B"/>
    <w:rsid w:val="00112862"/>
    <w:rsid w:val="00153443"/>
    <w:rsid w:val="001C273A"/>
    <w:rsid w:val="001C43AA"/>
    <w:rsid w:val="001E3088"/>
    <w:rsid w:val="002021C1"/>
    <w:rsid w:val="00205D5F"/>
    <w:rsid w:val="00230D6B"/>
    <w:rsid w:val="00276872"/>
    <w:rsid w:val="00292355"/>
    <w:rsid w:val="002B339B"/>
    <w:rsid w:val="003176D5"/>
    <w:rsid w:val="00372F04"/>
    <w:rsid w:val="003F5CB6"/>
    <w:rsid w:val="003F792E"/>
    <w:rsid w:val="00426C74"/>
    <w:rsid w:val="004C67CF"/>
    <w:rsid w:val="0050143D"/>
    <w:rsid w:val="00502B9A"/>
    <w:rsid w:val="00577428"/>
    <w:rsid w:val="005B0833"/>
    <w:rsid w:val="005B2DDD"/>
    <w:rsid w:val="006167C0"/>
    <w:rsid w:val="006424D1"/>
    <w:rsid w:val="00675D79"/>
    <w:rsid w:val="006D2A8C"/>
    <w:rsid w:val="0071350B"/>
    <w:rsid w:val="007174E5"/>
    <w:rsid w:val="0076313E"/>
    <w:rsid w:val="0076395C"/>
    <w:rsid w:val="007805D6"/>
    <w:rsid w:val="007B6989"/>
    <w:rsid w:val="007F3413"/>
    <w:rsid w:val="008711C3"/>
    <w:rsid w:val="008E6492"/>
    <w:rsid w:val="008F5C5E"/>
    <w:rsid w:val="00906E6D"/>
    <w:rsid w:val="00977B07"/>
    <w:rsid w:val="009967C6"/>
    <w:rsid w:val="00A12CCB"/>
    <w:rsid w:val="00AB6D99"/>
    <w:rsid w:val="00AC5F47"/>
    <w:rsid w:val="00AC6B18"/>
    <w:rsid w:val="00B02D25"/>
    <w:rsid w:val="00B11F3D"/>
    <w:rsid w:val="00BB2C8F"/>
    <w:rsid w:val="00BB3D1B"/>
    <w:rsid w:val="00BD077C"/>
    <w:rsid w:val="00BD203A"/>
    <w:rsid w:val="00BE1C25"/>
    <w:rsid w:val="00BF2E05"/>
    <w:rsid w:val="00BF739D"/>
    <w:rsid w:val="00C34989"/>
    <w:rsid w:val="00C729E3"/>
    <w:rsid w:val="00C91FC8"/>
    <w:rsid w:val="00D03A97"/>
    <w:rsid w:val="00D0478D"/>
    <w:rsid w:val="00D278C8"/>
    <w:rsid w:val="00D42D17"/>
    <w:rsid w:val="00D63733"/>
    <w:rsid w:val="00D86870"/>
    <w:rsid w:val="00D8703D"/>
    <w:rsid w:val="00DA257D"/>
    <w:rsid w:val="00DA4F9B"/>
    <w:rsid w:val="00DB7682"/>
    <w:rsid w:val="00DC0E28"/>
    <w:rsid w:val="00DE221F"/>
    <w:rsid w:val="00E2074E"/>
    <w:rsid w:val="00E77CB1"/>
    <w:rsid w:val="00EC29D4"/>
    <w:rsid w:val="00ED7F1A"/>
    <w:rsid w:val="00F16E25"/>
    <w:rsid w:val="00F37DB3"/>
    <w:rsid w:val="00F44E10"/>
    <w:rsid w:val="00F55078"/>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eastAsia="en-US"/>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eastAsia="en-US"/>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eastAsia="en-US"/>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eastAsia="en-US"/>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eastAsia="en-US"/>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495</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Brenda Quattrini</cp:lastModifiedBy>
  <cp:revision>2</cp:revision>
  <dcterms:created xsi:type="dcterms:W3CDTF">2026-04-23T16:30:00Z</dcterms:created>
  <dcterms:modified xsi:type="dcterms:W3CDTF">2026-04-23T16:30:00Z</dcterms:modified>
</cp:coreProperties>
</file>