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CA7" w14:textId="77777777" w:rsidR="00392BE5" w:rsidRDefault="00392BE5" w:rsidP="00392BE5">
      <w:pPr>
        <w:pStyle w:val="Textoindependiente"/>
        <w:ind w:left="0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>Cestari alcanzó la Certificación CE: un salto valioso en el mercado e</w:t>
      </w:r>
      <w:r w:rsidRPr="0015518F">
        <w:rPr>
          <w:rFonts w:asciiTheme="minorHAnsi" w:hAnsiTheme="minorHAnsi" w:cstheme="minorHAnsi"/>
          <w:sz w:val="32"/>
          <w:szCs w:val="32"/>
        </w:rPr>
        <w:t>uropeo</w:t>
      </w:r>
    </w:p>
    <w:p w14:paraId="3F3EB6E5" w14:textId="77777777" w:rsidR="00392BE5" w:rsidRDefault="00392BE5" w:rsidP="00392BE5">
      <w:pPr>
        <w:pStyle w:val="Textoindependiente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3FB39D1" w14:textId="77777777" w:rsidR="00392BE5" w:rsidRPr="0056679A" w:rsidRDefault="00392BE5" w:rsidP="00392BE5">
      <w:pPr>
        <w:pStyle w:val="Textoindependiente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679A">
        <w:rPr>
          <w:rFonts w:asciiTheme="minorHAnsi" w:hAnsiTheme="minorHAnsi" w:cstheme="minorHAnsi"/>
          <w:i/>
          <w:sz w:val="24"/>
          <w:szCs w:val="24"/>
        </w:rPr>
        <w:t>Industrias Metalúr</w:t>
      </w:r>
      <w:r>
        <w:rPr>
          <w:rFonts w:asciiTheme="minorHAnsi" w:hAnsiTheme="minorHAnsi" w:cstheme="minorHAnsi"/>
          <w:i/>
          <w:sz w:val="24"/>
          <w:szCs w:val="24"/>
        </w:rPr>
        <w:t>gicas Cestari logró la C</w:t>
      </w:r>
      <w:r w:rsidRPr="0056679A">
        <w:rPr>
          <w:rFonts w:asciiTheme="minorHAnsi" w:hAnsiTheme="minorHAnsi" w:cstheme="minorHAnsi"/>
          <w:i/>
          <w:sz w:val="24"/>
          <w:szCs w:val="24"/>
        </w:rPr>
        <w:t>ertificación CE para sus tolvas autodescargables, asegurando conformidad con las normas europeas y fortaleciendo su presencia estratégica en el mercado internacional.</w:t>
      </w:r>
    </w:p>
    <w:p w14:paraId="37E603D5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2DD45B" w14:textId="77777777" w:rsidR="00392BE5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518F">
        <w:rPr>
          <w:rFonts w:asciiTheme="minorHAnsi" w:hAnsiTheme="minorHAnsi" w:cstheme="minorHAnsi"/>
          <w:sz w:val="24"/>
          <w:szCs w:val="24"/>
        </w:rPr>
        <w:t xml:space="preserve">En un importante paso hacia la consolidación de su presencia en el mercado europeo, </w:t>
      </w:r>
      <w:r w:rsidRPr="00B97299">
        <w:rPr>
          <w:rFonts w:asciiTheme="minorHAnsi" w:hAnsiTheme="minorHAnsi" w:cstheme="minorHAnsi"/>
          <w:b/>
          <w:sz w:val="24"/>
          <w:szCs w:val="24"/>
        </w:rPr>
        <w:t>Industrias Metalúrgicas Cestari</w:t>
      </w:r>
      <w:r w:rsidRPr="0015518F">
        <w:rPr>
          <w:rFonts w:asciiTheme="minorHAnsi" w:hAnsiTheme="minorHAnsi" w:cstheme="minorHAnsi"/>
          <w:sz w:val="24"/>
          <w:szCs w:val="24"/>
        </w:rPr>
        <w:t xml:space="preserve"> se encuentra participan</w:t>
      </w:r>
      <w:r>
        <w:rPr>
          <w:rFonts w:asciiTheme="minorHAnsi" w:hAnsiTheme="minorHAnsi" w:cstheme="minorHAnsi"/>
          <w:sz w:val="24"/>
          <w:szCs w:val="24"/>
        </w:rPr>
        <w:t>do activamente en la</w:t>
      </w:r>
      <w:r w:rsidRPr="0015518F">
        <w:rPr>
          <w:rFonts w:asciiTheme="minorHAnsi" w:hAnsiTheme="minorHAnsi" w:cstheme="minorHAnsi"/>
          <w:sz w:val="24"/>
          <w:szCs w:val="24"/>
        </w:rPr>
        <w:t xml:space="preserve"> feria Agritechnica, que </w:t>
      </w:r>
      <w:r>
        <w:rPr>
          <w:rFonts w:asciiTheme="minorHAnsi" w:hAnsiTheme="minorHAnsi" w:cstheme="minorHAnsi"/>
          <w:sz w:val="24"/>
          <w:szCs w:val="24"/>
        </w:rPr>
        <w:t>se está desarrollando</w:t>
      </w:r>
      <w:r w:rsidRPr="0015518F">
        <w:rPr>
          <w:rFonts w:asciiTheme="minorHAnsi" w:hAnsiTheme="minorHAnsi" w:cstheme="minorHAnsi"/>
          <w:sz w:val="24"/>
          <w:szCs w:val="24"/>
        </w:rPr>
        <w:t xml:space="preserve"> en </w:t>
      </w:r>
      <w:r>
        <w:rPr>
          <w:rFonts w:asciiTheme="minorHAnsi" w:hAnsiTheme="minorHAnsi" w:cstheme="minorHAnsi"/>
          <w:sz w:val="24"/>
          <w:szCs w:val="24"/>
        </w:rPr>
        <w:t>Hannover, Alemania desde el 12 hasta el</w:t>
      </w:r>
      <w:r w:rsidRPr="0015518F">
        <w:rPr>
          <w:rFonts w:asciiTheme="minorHAnsi" w:hAnsiTheme="minorHAnsi" w:cstheme="minorHAnsi"/>
          <w:sz w:val="24"/>
          <w:szCs w:val="24"/>
        </w:rPr>
        <w:t xml:space="preserve"> 18 de noviembre. La empresa, reconocida por su excelencia en la fabricación de tolvas autodescargables para uso agrícola, </w:t>
      </w:r>
      <w:r>
        <w:rPr>
          <w:rFonts w:asciiTheme="minorHAnsi" w:hAnsiTheme="minorHAnsi" w:cstheme="minorHAnsi"/>
          <w:sz w:val="24"/>
          <w:szCs w:val="24"/>
        </w:rPr>
        <w:t>celebra un hito fundamental en su trayectoria</w:t>
      </w:r>
      <w:r w:rsidRPr="0015518F">
        <w:rPr>
          <w:rFonts w:asciiTheme="minorHAnsi" w:hAnsiTheme="minorHAnsi" w:cstheme="minorHAnsi"/>
          <w:sz w:val="24"/>
          <w:szCs w:val="24"/>
        </w:rPr>
        <w:t xml:space="preserve">: </w:t>
      </w:r>
      <w:r w:rsidRPr="001426DF">
        <w:rPr>
          <w:rFonts w:asciiTheme="minorHAnsi" w:hAnsiTheme="minorHAnsi" w:cstheme="minorHAnsi"/>
          <w:b/>
          <w:sz w:val="24"/>
          <w:szCs w:val="24"/>
        </w:rPr>
        <w:t>la obtención de la certificación CE en el diseño y fabricación de sus equipos.</w:t>
      </w:r>
    </w:p>
    <w:p w14:paraId="0F384F99" w14:textId="77777777" w:rsidR="00392BE5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525E52" w14:textId="77777777" w:rsidR="00392BE5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501">
        <w:rPr>
          <w:rFonts w:asciiTheme="minorHAnsi" w:hAnsiTheme="minorHAnsi" w:cstheme="minorHAnsi"/>
          <w:b/>
          <w:sz w:val="24"/>
          <w:szCs w:val="24"/>
        </w:rPr>
        <w:t>Cestari</w:t>
      </w:r>
      <w:r>
        <w:rPr>
          <w:rFonts w:asciiTheme="minorHAnsi" w:hAnsiTheme="minorHAnsi" w:cstheme="minorHAnsi"/>
          <w:sz w:val="24"/>
          <w:szCs w:val="24"/>
        </w:rPr>
        <w:t xml:space="preserve"> forma parte de la misión argentina</w:t>
      </w:r>
      <w:r w:rsidRPr="00B715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viajó a Alemania y </w:t>
      </w:r>
      <w:r w:rsidRPr="00B71501">
        <w:rPr>
          <w:rFonts w:asciiTheme="minorHAnsi" w:hAnsiTheme="minorHAnsi" w:cstheme="minorHAnsi"/>
          <w:sz w:val="24"/>
          <w:szCs w:val="24"/>
        </w:rPr>
        <w:t xml:space="preserve">que es coordinada por </w:t>
      </w:r>
      <w:r w:rsidRPr="00B71501">
        <w:rPr>
          <w:rFonts w:asciiTheme="minorHAnsi" w:hAnsiTheme="minorHAnsi" w:cstheme="minorHAnsi"/>
          <w:b/>
          <w:sz w:val="24"/>
          <w:szCs w:val="24"/>
        </w:rPr>
        <w:t>Expoagro y la Agencia Argentina de Inversiones</w:t>
      </w:r>
      <w:r>
        <w:rPr>
          <w:rFonts w:asciiTheme="minorHAnsi" w:hAnsiTheme="minorHAnsi" w:cstheme="minorHAnsi"/>
          <w:sz w:val="24"/>
          <w:szCs w:val="24"/>
        </w:rPr>
        <w:t xml:space="preserve">. En el pabellón argentino, la empresa exhibe la </w:t>
      </w:r>
      <w:r w:rsidRPr="00B71501">
        <w:rPr>
          <w:rFonts w:asciiTheme="minorHAnsi" w:hAnsiTheme="minorHAnsi" w:cstheme="minorHAnsi"/>
          <w:sz w:val="24"/>
          <w:szCs w:val="24"/>
        </w:rPr>
        <w:t>Tolva S6 de 24000 litros de capacidad sobre un eje con sistema de frenos incorporado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8F96367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674ABF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este sentido, la</w:t>
      </w:r>
      <w:r w:rsidRPr="0015518F">
        <w:rPr>
          <w:rFonts w:asciiTheme="minorHAnsi" w:hAnsiTheme="minorHAnsi" w:cstheme="minorHAnsi"/>
          <w:sz w:val="24"/>
          <w:szCs w:val="24"/>
        </w:rPr>
        <w:t xml:space="preserve"> certificación CE, que responde a las directivas europeas 2006/42/CE, significa que el diseño y la producción de los </w:t>
      </w:r>
      <w:r w:rsidRPr="000D6D58">
        <w:rPr>
          <w:rFonts w:asciiTheme="minorHAnsi" w:hAnsiTheme="minorHAnsi" w:cstheme="minorHAnsi"/>
          <w:b/>
          <w:sz w:val="24"/>
          <w:szCs w:val="24"/>
        </w:rPr>
        <w:t>acoplados tolvas autodescargables Cestari</w:t>
      </w:r>
      <w:r w:rsidRPr="0015518F">
        <w:rPr>
          <w:rFonts w:asciiTheme="minorHAnsi" w:hAnsiTheme="minorHAnsi" w:cstheme="minorHAnsi"/>
          <w:sz w:val="24"/>
          <w:szCs w:val="24"/>
        </w:rPr>
        <w:t xml:space="preserve"> cumplen con los requisitos esenciales establecidos por la Unión Europea. Este logro representa un nuevo horizonte para la empresa en el comercio internacional.</w:t>
      </w:r>
    </w:p>
    <w:p w14:paraId="5FAB638B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16A363" w14:textId="77777777" w:rsidR="00392BE5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18F">
        <w:rPr>
          <w:rFonts w:asciiTheme="minorHAnsi" w:hAnsiTheme="minorHAnsi" w:cstheme="minorHAnsi"/>
          <w:sz w:val="24"/>
          <w:szCs w:val="24"/>
        </w:rPr>
        <w:t xml:space="preserve">Este distintivo certifica que el fabricante declara la conformidad de su producto con la legislación europea de armonización aplicable, </w:t>
      </w:r>
      <w:r w:rsidRPr="000D6D58">
        <w:rPr>
          <w:rFonts w:asciiTheme="minorHAnsi" w:hAnsiTheme="minorHAnsi" w:cstheme="minorHAnsi"/>
          <w:b/>
          <w:sz w:val="24"/>
          <w:szCs w:val="24"/>
        </w:rPr>
        <w:t>permitiendo la libre circulación de los productos dentro del Espacio Único Europeo (EEE)</w:t>
      </w:r>
      <w:r>
        <w:rPr>
          <w:rFonts w:asciiTheme="minorHAnsi" w:hAnsiTheme="minorHAnsi" w:cstheme="minorHAnsi"/>
          <w:sz w:val="24"/>
          <w:szCs w:val="24"/>
        </w:rPr>
        <w:t>. Esta legitimación</w:t>
      </w:r>
      <w:r w:rsidRPr="0015518F">
        <w:rPr>
          <w:rFonts w:asciiTheme="minorHAnsi" w:hAnsiTheme="minorHAnsi" w:cstheme="minorHAnsi"/>
          <w:sz w:val="24"/>
          <w:szCs w:val="24"/>
        </w:rPr>
        <w:t xml:space="preserve"> es fundamental para la entrada y aceptación de productos en los 28 Estados miembros de la UE y países asociados.</w:t>
      </w:r>
    </w:p>
    <w:p w14:paraId="7886E946" w14:textId="77777777" w:rsidR="00392BE5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B01A3D" w14:textId="77777777" w:rsidR="00392BE5" w:rsidRPr="000D6D58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D58">
        <w:rPr>
          <w:rFonts w:asciiTheme="minorHAnsi" w:hAnsiTheme="minorHAnsi" w:cstheme="minorHAnsi"/>
          <w:b/>
          <w:sz w:val="24"/>
          <w:szCs w:val="24"/>
        </w:rPr>
        <w:t xml:space="preserve">Un proceso interno y externo </w:t>
      </w:r>
    </w:p>
    <w:p w14:paraId="00EB8116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C3E42F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18F">
        <w:rPr>
          <w:rFonts w:asciiTheme="minorHAnsi" w:hAnsiTheme="minorHAnsi" w:cstheme="minorHAnsi"/>
          <w:sz w:val="24"/>
          <w:szCs w:val="24"/>
        </w:rPr>
        <w:t>El proceso de obtención del marcado CE fue riguroso y demandó un esfuerzo coordinado tanto a nivel interno como externo. Internamente, la gerencia, el equipo de ingenieros de I+D, y responsables de producción y compras, entre otros, jugaron un papel clave. La experiencia acumulada en más de 96 años de historia de la empresa y la certificación ISO 9001-2015 renovada anualmente fueron elementos fundamentales.</w:t>
      </w:r>
    </w:p>
    <w:p w14:paraId="2715CBF3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3DE54C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18F">
        <w:rPr>
          <w:rFonts w:asciiTheme="minorHAnsi" w:hAnsiTheme="minorHAnsi" w:cstheme="minorHAnsi"/>
          <w:sz w:val="24"/>
          <w:szCs w:val="24"/>
        </w:rPr>
        <w:t xml:space="preserve">Externamente, </w:t>
      </w:r>
      <w:r w:rsidRPr="000D6D58">
        <w:rPr>
          <w:rFonts w:asciiTheme="minorHAnsi" w:hAnsiTheme="minorHAnsi" w:cstheme="minorHAnsi"/>
          <w:b/>
          <w:sz w:val="24"/>
          <w:szCs w:val="24"/>
        </w:rPr>
        <w:t>Cestari</w:t>
      </w:r>
      <w:r w:rsidRPr="0015518F">
        <w:rPr>
          <w:rFonts w:asciiTheme="minorHAnsi" w:hAnsiTheme="minorHAnsi" w:cstheme="minorHAnsi"/>
          <w:sz w:val="24"/>
          <w:szCs w:val="24"/>
        </w:rPr>
        <w:t xml:space="preserve"> contó con el respaldo de Propymes, una entidad que promueve </w:t>
      </w:r>
      <w:r w:rsidRPr="0015518F">
        <w:rPr>
          <w:rFonts w:asciiTheme="minorHAnsi" w:hAnsiTheme="minorHAnsi" w:cstheme="minorHAnsi"/>
          <w:sz w:val="24"/>
          <w:szCs w:val="24"/>
        </w:rPr>
        <w:lastRenderedPageBreak/>
        <w:t>la evolución e internacionalización de las pequeñas y medianas empresas argentinas. El apoyo de esta organización fue invaluable en el proceso de certificación CE.</w:t>
      </w:r>
    </w:p>
    <w:p w14:paraId="03925B0C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BB84F2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hito </w:t>
      </w:r>
      <w:r w:rsidRPr="0015518F">
        <w:rPr>
          <w:rFonts w:asciiTheme="minorHAnsi" w:hAnsiTheme="minorHAnsi" w:cstheme="minorHAnsi"/>
          <w:sz w:val="24"/>
          <w:szCs w:val="24"/>
        </w:rPr>
        <w:t xml:space="preserve">no solo es un símbolo, sino un elemento estratégico para </w:t>
      </w:r>
      <w:r w:rsidRPr="000D6D58">
        <w:rPr>
          <w:rFonts w:asciiTheme="minorHAnsi" w:hAnsiTheme="minorHAnsi" w:cstheme="minorHAnsi"/>
          <w:b/>
          <w:sz w:val="24"/>
          <w:szCs w:val="24"/>
        </w:rPr>
        <w:t>Cestari</w:t>
      </w:r>
      <w:r w:rsidRPr="0015518F">
        <w:rPr>
          <w:rFonts w:asciiTheme="minorHAnsi" w:hAnsiTheme="minorHAnsi" w:cstheme="minorHAnsi"/>
          <w:sz w:val="24"/>
          <w:szCs w:val="24"/>
        </w:rPr>
        <w:t>. Al obtenerlo, la empresa puede competir en igualdad de condiciones con proveedore</w:t>
      </w:r>
      <w:r>
        <w:rPr>
          <w:rFonts w:asciiTheme="minorHAnsi" w:hAnsiTheme="minorHAnsi" w:cstheme="minorHAnsi"/>
          <w:sz w:val="24"/>
          <w:szCs w:val="24"/>
        </w:rPr>
        <w:t>s europeos en dicho mercado</w:t>
      </w:r>
      <w:r w:rsidRPr="0015518F">
        <w:rPr>
          <w:rFonts w:asciiTheme="minorHAnsi" w:hAnsiTheme="minorHAnsi" w:cstheme="minorHAnsi"/>
          <w:sz w:val="24"/>
          <w:szCs w:val="24"/>
        </w:rPr>
        <w:t xml:space="preserve">. </w:t>
      </w:r>
      <w:r w:rsidRPr="000D6D58">
        <w:rPr>
          <w:rFonts w:asciiTheme="minorHAnsi" w:hAnsiTheme="minorHAnsi" w:cstheme="minorHAnsi"/>
          <w:b/>
          <w:sz w:val="24"/>
          <w:szCs w:val="24"/>
        </w:rPr>
        <w:t>Esto asegura que cada producto vendido cumple con normas de calidad reconocidas mundialmente, respaldado por un proceso de producción certificado.</w:t>
      </w:r>
    </w:p>
    <w:p w14:paraId="54E80A7C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E71754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D58">
        <w:rPr>
          <w:rFonts w:asciiTheme="minorHAnsi" w:hAnsiTheme="minorHAnsi" w:cstheme="minorHAnsi"/>
          <w:i/>
          <w:sz w:val="24"/>
          <w:szCs w:val="24"/>
        </w:rPr>
        <w:t>"Estamos felices porque es el resultado de un trabajo que ha demandado mucho tiempo y el compromiso de muchos actores, todas piezas necesarias en el proceso"</w:t>
      </w:r>
      <w:r w:rsidRPr="0015518F">
        <w:rPr>
          <w:rFonts w:asciiTheme="minorHAnsi" w:hAnsiTheme="minorHAnsi" w:cstheme="minorHAnsi"/>
          <w:sz w:val="24"/>
          <w:szCs w:val="24"/>
        </w:rPr>
        <w:t>, afirma</w:t>
      </w:r>
      <w:r>
        <w:rPr>
          <w:rFonts w:asciiTheme="minorHAnsi" w:hAnsiTheme="minorHAnsi" w:cstheme="minorHAnsi"/>
          <w:sz w:val="24"/>
          <w:szCs w:val="24"/>
        </w:rPr>
        <w:t>ron desde la compañía.</w:t>
      </w:r>
      <w:r w:rsidRPr="0015518F">
        <w:rPr>
          <w:rFonts w:asciiTheme="minorHAnsi" w:hAnsiTheme="minorHAnsi" w:cstheme="minorHAnsi"/>
          <w:sz w:val="24"/>
          <w:szCs w:val="24"/>
        </w:rPr>
        <w:t xml:space="preserve"> </w:t>
      </w:r>
      <w:r w:rsidRPr="000D6D58">
        <w:rPr>
          <w:rFonts w:asciiTheme="minorHAnsi" w:hAnsiTheme="minorHAnsi" w:cstheme="minorHAnsi"/>
          <w:b/>
          <w:sz w:val="24"/>
          <w:szCs w:val="24"/>
        </w:rPr>
        <w:t>La certificación CE no solo representa un logro técnico, sino también una forma de que el mercado europeo aprecie y reconozca aún más la calidad y el compromiso de Cestari con sus productos y marca.</w:t>
      </w:r>
    </w:p>
    <w:p w14:paraId="1076DB05" w14:textId="77777777" w:rsidR="00392BE5" w:rsidRPr="0015518F" w:rsidRDefault="00392BE5" w:rsidP="00392BE5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BCF8B4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 este importante avance</w:t>
      </w:r>
      <w:r w:rsidRPr="0015518F">
        <w:rPr>
          <w:rFonts w:asciiTheme="minorHAnsi" w:hAnsiTheme="minorHAnsi" w:cstheme="minorHAnsi"/>
          <w:sz w:val="24"/>
          <w:szCs w:val="24"/>
        </w:rPr>
        <w:t xml:space="preserve">, </w:t>
      </w:r>
      <w:r w:rsidRPr="000D6D58">
        <w:rPr>
          <w:rFonts w:asciiTheme="minorHAnsi" w:hAnsiTheme="minorHAnsi" w:cstheme="minorHAnsi"/>
          <w:b/>
          <w:sz w:val="24"/>
          <w:szCs w:val="24"/>
        </w:rPr>
        <w:t>Industrias Metalúrgicas Cestari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5518F">
        <w:rPr>
          <w:rFonts w:asciiTheme="minorHAnsi" w:hAnsiTheme="minorHAnsi" w:cstheme="minorHAnsi"/>
          <w:sz w:val="24"/>
          <w:szCs w:val="24"/>
        </w:rPr>
        <w:t>consolida su posición como un actor destacado en el ámbito internacional, garantiza</w:t>
      </w:r>
      <w:r>
        <w:rPr>
          <w:rFonts w:asciiTheme="minorHAnsi" w:hAnsiTheme="minorHAnsi" w:cstheme="minorHAnsi"/>
          <w:sz w:val="24"/>
          <w:szCs w:val="24"/>
        </w:rPr>
        <w:t>ndo la calidad de sus productos.</w:t>
      </w:r>
    </w:p>
    <w:p w14:paraId="7E9DD978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8ACC6C2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751C52F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7068B91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1251E4E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8086E00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670E3C6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3DEDA60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76C7E9A" w14:textId="77777777" w:rsidR="00392BE5" w:rsidRPr="0015518F" w:rsidRDefault="00392BE5" w:rsidP="00392BE5">
      <w:pPr>
        <w:pStyle w:val="Textoindependiente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84198BD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578D4660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61D1C829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47F8AD54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2A1E4097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65A0A8DC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5F7AEF1D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0A341AA8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0BEF60D2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79621E32" w14:textId="77777777" w:rsidR="00392BE5" w:rsidRDefault="00392BE5" w:rsidP="00392BE5">
      <w:pPr>
        <w:pStyle w:val="Textoindependiente"/>
        <w:ind w:left="0"/>
        <w:rPr>
          <w:rFonts w:ascii="Times New Roman"/>
        </w:rPr>
      </w:pPr>
    </w:p>
    <w:p w14:paraId="442D5010" w14:textId="77777777" w:rsidR="00392BE5" w:rsidRDefault="00392BE5" w:rsidP="00392BE5">
      <w:pPr>
        <w:pStyle w:val="Textoindependiente"/>
        <w:spacing w:before="10"/>
        <w:ind w:left="0"/>
        <w:rPr>
          <w:rFonts w:ascii="Times New Roman"/>
          <w:sz w:val="15"/>
        </w:rPr>
      </w:pPr>
    </w:p>
    <w:p w14:paraId="376F5366" w14:textId="77777777" w:rsidR="00AE0FBE" w:rsidRPr="00392BE5" w:rsidRDefault="00AE0FBE" w:rsidP="00392BE5"/>
    <w:sectPr w:rsidR="00AE0FBE" w:rsidRPr="00392BE5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BE50" w14:textId="77777777" w:rsidR="00EC5EDD" w:rsidRDefault="00EC5EDD" w:rsidP="00E728E0">
      <w:pPr>
        <w:spacing w:after="0" w:line="240" w:lineRule="auto"/>
      </w:pPr>
      <w:r>
        <w:separator/>
      </w:r>
    </w:p>
  </w:endnote>
  <w:endnote w:type="continuationSeparator" w:id="0">
    <w:p w14:paraId="742DB387" w14:textId="77777777" w:rsidR="00EC5EDD" w:rsidRDefault="00EC5ED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51BE" w14:textId="77777777" w:rsidR="00EC5EDD" w:rsidRDefault="00EC5EDD" w:rsidP="00E728E0">
      <w:pPr>
        <w:spacing w:after="0" w:line="240" w:lineRule="auto"/>
      </w:pPr>
      <w:r>
        <w:separator/>
      </w:r>
    </w:p>
  </w:footnote>
  <w:footnote w:type="continuationSeparator" w:id="0">
    <w:p w14:paraId="3222678A" w14:textId="77777777" w:rsidR="00EC5EDD" w:rsidRDefault="00EC5ED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2BE5"/>
    <w:rsid w:val="003935CE"/>
    <w:rsid w:val="003971B6"/>
    <w:rsid w:val="003B6AC1"/>
    <w:rsid w:val="00407CBF"/>
    <w:rsid w:val="0042338E"/>
    <w:rsid w:val="00433092"/>
    <w:rsid w:val="00437F88"/>
    <w:rsid w:val="00496883"/>
    <w:rsid w:val="004E2053"/>
    <w:rsid w:val="004E7738"/>
    <w:rsid w:val="0050453E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C5EDD"/>
    <w:rsid w:val="00ED36B6"/>
    <w:rsid w:val="00EE74EB"/>
    <w:rsid w:val="00F34D0A"/>
    <w:rsid w:val="00F90D1B"/>
    <w:rsid w:val="00FA2CBB"/>
    <w:rsid w:val="00FB542C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6A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92BE5"/>
    <w:pPr>
      <w:widowControl w:val="0"/>
      <w:autoSpaceDE w:val="0"/>
      <w:autoSpaceDN w:val="0"/>
      <w:spacing w:after="0" w:line="240" w:lineRule="auto"/>
      <w:ind w:left="101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2BE5"/>
    <w:rPr>
      <w:rFonts w:ascii="Tahoma" w:eastAsia="Tahoma" w:hAnsi="Tahoma" w:cs="Tahom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www.w3.org/XML/1998/namespace"/>
    <ds:schemaRef ds:uri="8ea0c7a9-7812-4ab2-837e-97a9ce7f45bd"/>
    <ds:schemaRef ds:uri="d24e3aec-322b-40d6-846f-3ce85be438e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3767DA-6B61-419A-93F1-9368F9F1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2023-11-14T16:11:00Z</dcterms:created>
  <dcterms:modified xsi:type="dcterms:W3CDTF">2023-11-14T16:11:00Z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