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B936D" w14:textId="64DBAACD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Theme="minorHAnsi" w:eastAsia="Noto Sans Disp ExtLt" w:hAnsiTheme="minorHAnsi" w:cstheme="minorHAnsi"/>
          <w:b/>
          <w:bCs/>
          <w:sz w:val="28"/>
          <w:szCs w:val="28"/>
        </w:rPr>
      </w:pPr>
      <w:r w:rsidRPr="002B3C6D">
        <w:rPr>
          <w:rFonts w:asciiTheme="minorHAnsi" w:eastAsia="Noto Sans Light" w:hAnsiTheme="minorHAnsi" w:cstheme="minorHAnsi"/>
          <w:b/>
          <w:bCs/>
          <w:iCs/>
          <w:sz w:val="28"/>
          <w:szCs w:val="28"/>
        </w:rPr>
        <w:t>Percy</w:t>
      </w:r>
      <w:r w:rsidRPr="002B3C6D">
        <w:rPr>
          <w:rFonts w:asciiTheme="minorHAnsi" w:eastAsia="Noto Sans Disp ExtLt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eastAsia="Noto Sans Disp ExtLt" w:hAnsiTheme="minorHAnsi" w:cstheme="minorHAnsi"/>
          <w:b/>
          <w:bCs/>
          <w:sz w:val="28"/>
          <w:szCs w:val="28"/>
        </w:rPr>
        <w:t xml:space="preserve">de UPL: </w:t>
      </w:r>
      <w:r w:rsidRPr="002B3C6D">
        <w:rPr>
          <w:rFonts w:asciiTheme="minorHAnsi" w:eastAsia="Noto Sans Disp ExtLt" w:hAnsiTheme="minorHAnsi" w:cstheme="minorHAnsi"/>
          <w:b/>
          <w:bCs/>
          <w:sz w:val="28"/>
          <w:szCs w:val="28"/>
        </w:rPr>
        <w:t>“El actual ritmo de avance de la agricultura no es sostenible”</w:t>
      </w:r>
    </w:p>
    <w:p w14:paraId="73A38F04" w14:textId="34A7B3DF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center"/>
        <w:rPr>
          <w:rFonts w:asciiTheme="minorHAnsi" w:eastAsia="Noto Sans Light" w:hAnsiTheme="minorHAnsi" w:cstheme="minorHAnsi"/>
          <w:i/>
        </w:rPr>
      </w:pPr>
      <w:bookmarkStart w:id="0" w:name="_30j0zll" w:colFirst="0" w:colLast="0"/>
      <w:bookmarkEnd w:id="0"/>
      <w:r w:rsidRPr="002B3C6D">
        <w:rPr>
          <w:rFonts w:asciiTheme="minorHAnsi" w:eastAsia="Noto Sans Light" w:hAnsiTheme="minorHAnsi" w:cstheme="minorHAnsi"/>
          <w:i/>
        </w:rPr>
        <w:t>Adrián</w:t>
      </w:r>
      <w:r w:rsidRPr="002B3C6D">
        <w:rPr>
          <w:rFonts w:asciiTheme="minorHAnsi" w:eastAsia="Noto Sans Light" w:hAnsiTheme="minorHAnsi" w:cstheme="minorHAnsi"/>
          <w:i/>
        </w:rPr>
        <w:t xml:space="preserve"> Percy, el director de tecnología de UPL, presentó el </w:t>
      </w:r>
      <w:proofErr w:type="spellStart"/>
      <w:r w:rsidRPr="002B3C6D">
        <w:rPr>
          <w:rFonts w:asciiTheme="minorHAnsi" w:eastAsia="Noto Sans Light" w:hAnsiTheme="minorHAnsi" w:cstheme="minorHAnsi"/>
          <w:i/>
        </w:rPr>
        <w:t>OpenAg</w:t>
      </w:r>
      <w:proofErr w:type="spellEnd"/>
      <w:r w:rsidRPr="002B3C6D">
        <w:rPr>
          <w:rFonts w:asciiTheme="minorHAnsi" w:eastAsia="Noto Sans Light" w:hAnsiTheme="minorHAnsi" w:cstheme="minorHAnsi"/>
          <w:i/>
        </w:rPr>
        <w:t xml:space="preserve"> Center, un nuevo espacio de incubación, desarrollo y transferencia de nuevas tecnologías para una agricultura sostenible que se abre a recibir propuestas desde la Argentina.</w:t>
      </w:r>
    </w:p>
    <w:p w14:paraId="64B28529" w14:textId="77777777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  <w:i/>
        </w:rPr>
      </w:pPr>
    </w:p>
    <w:p w14:paraId="2FAB67B6" w14:textId="20AC445C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</w:rPr>
      </w:pPr>
      <w:r w:rsidRPr="002B3C6D">
        <w:rPr>
          <w:rFonts w:asciiTheme="minorHAnsi" w:eastAsia="Noto Sans Light" w:hAnsiTheme="minorHAnsi" w:cstheme="minorHAnsi"/>
        </w:rPr>
        <w:t xml:space="preserve">"Nuestros sistemas de producción de alimentos necesitan una reorganización", dijo </w:t>
      </w:r>
      <w:proofErr w:type="spellStart"/>
      <w:r w:rsidRPr="002B3C6D">
        <w:rPr>
          <w:rFonts w:asciiTheme="minorHAnsi" w:eastAsia="Noto Sans Light" w:hAnsiTheme="minorHAnsi" w:cstheme="minorHAnsi"/>
        </w:rPr>
        <w:t>Adrian</w:t>
      </w:r>
      <w:proofErr w:type="spellEnd"/>
      <w:r w:rsidRPr="002B3C6D">
        <w:rPr>
          <w:rFonts w:asciiTheme="minorHAnsi" w:eastAsia="Noto Sans Light" w:hAnsiTheme="minorHAnsi" w:cstheme="minorHAnsi"/>
        </w:rPr>
        <w:t xml:space="preserve"> Percy, director de tecnología de UPL, durante la presentación del </w:t>
      </w:r>
      <w:proofErr w:type="spellStart"/>
      <w:r w:rsidRPr="002B3C6D">
        <w:rPr>
          <w:rFonts w:asciiTheme="minorHAnsi" w:eastAsia="Noto Sans Light" w:hAnsiTheme="minorHAnsi" w:cstheme="minorHAnsi"/>
        </w:rPr>
        <w:t>OpenAg</w:t>
      </w:r>
      <w:proofErr w:type="spellEnd"/>
      <w:r w:rsidRPr="002B3C6D">
        <w:rPr>
          <w:rFonts w:asciiTheme="minorHAnsi" w:eastAsia="Noto Sans Light" w:hAnsiTheme="minorHAnsi" w:cstheme="minorHAnsi"/>
        </w:rPr>
        <w:t xml:space="preserve"> Center en Expoagro digital. Desde el Centro </w:t>
      </w:r>
      <w:proofErr w:type="spellStart"/>
      <w:r w:rsidRPr="002B3C6D">
        <w:rPr>
          <w:rFonts w:asciiTheme="minorHAnsi" w:eastAsia="Noto Sans Light" w:hAnsiTheme="minorHAnsi" w:cstheme="minorHAnsi"/>
        </w:rPr>
        <w:t>Alexandría</w:t>
      </w:r>
      <w:proofErr w:type="spellEnd"/>
      <w:r w:rsidRPr="002B3C6D">
        <w:rPr>
          <w:rFonts w:asciiTheme="minorHAnsi" w:eastAsia="Noto Sans Light" w:hAnsiTheme="minorHAnsi" w:cstheme="minorHAnsi"/>
        </w:rPr>
        <w:t xml:space="preserve"> de </w:t>
      </w:r>
      <w:proofErr w:type="spellStart"/>
      <w:r w:rsidRPr="002B3C6D">
        <w:rPr>
          <w:rFonts w:asciiTheme="minorHAnsi" w:eastAsia="Noto Sans Light" w:hAnsiTheme="minorHAnsi" w:cstheme="minorHAnsi"/>
        </w:rPr>
        <w:t>Agtech</w:t>
      </w:r>
      <w:proofErr w:type="spellEnd"/>
      <w:r w:rsidRPr="002B3C6D">
        <w:rPr>
          <w:rFonts w:asciiTheme="minorHAnsi" w:eastAsia="Noto Sans Light" w:hAnsiTheme="minorHAnsi" w:cstheme="minorHAnsi"/>
        </w:rPr>
        <w:t xml:space="preserve"> ubicado en el Triángulo de Investigación de Carolina del Norte - </w:t>
      </w:r>
      <w:proofErr w:type="spellStart"/>
      <w:r w:rsidRPr="002B3C6D">
        <w:rPr>
          <w:rFonts w:asciiTheme="minorHAnsi" w:eastAsia="Noto Sans Light" w:hAnsiTheme="minorHAnsi" w:cstheme="minorHAnsi"/>
        </w:rPr>
        <w:t>Research</w:t>
      </w:r>
      <w:proofErr w:type="spellEnd"/>
      <w:r w:rsidRPr="002B3C6D">
        <w:rPr>
          <w:rFonts w:asciiTheme="minorHAnsi" w:eastAsia="Noto Sans Light" w:hAnsiTheme="minorHAnsi" w:cstheme="minorHAnsi"/>
        </w:rPr>
        <w:t xml:space="preserve"> </w:t>
      </w:r>
      <w:proofErr w:type="spellStart"/>
      <w:r w:rsidRPr="002B3C6D">
        <w:rPr>
          <w:rFonts w:asciiTheme="minorHAnsi" w:eastAsia="Noto Sans Light" w:hAnsiTheme="minorHAnsi" w:cstheme="minorHAnsi"/>
        </w:rPr>
        <w:t>Triangle</w:t>
      </w:r>
      <w:proofErr w:type="spellEnd"/>
      <w:r w:rsidRPr="002B3C6D">
        <w:rPr>
          <w:rFonts w:asciiTheme="minorHAnsi" w:eastAsia="Noto Sans Light" w:hAnsiTheme="minorHAnsi" w:cstheme="minorHAnsi"/>
        </w:rPr>
        <w:t xml:space="preserve"> Park (RTP) – donde UPL tiene su centro de innovación agrícola colaborativa, el especialista compartió algunos conceptos sobre las tendencias de la investigación en el agro. </w:t>
      </w:r>
    </w:p>
    <w:p w14:paraId="5DB68795" w14:textId="77777777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</w:rPr>
      </w:pPr>
      <w:r w:rsidRPr="002B3C6D">
        <w:rPr>
          <w:rFonts w:asciiTheme="minorHAnsi" w:eastAsia="Noto Sans Light" w:hAnsiTheme="minorHAnsi" w:cstheme="minorHAnsi"/>
        </w:rPr>
        <w:t xml:space="preserve"> </w:t>
      </w:r>
    </w:p>
    <w:p w14:paraId="3E7C507F" w14:textId="77777777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</w:rPr>
      </w:pPr>
      <w:r w:rsidRPr="002B3C6D">
        <w:rPr>
          <w:rFonts w:asciiTheme="minorHAnsi" w:eastAsia="Noto Sans Light" w:hAnsiTheme="minorHAnsi" w:cstheme="minorHAnsi"/>
        </w:rPr>
        <w:t xml:space="preserve">Para 2050, la población mundial alcanzará los 9.100 millones de habitantes, un 34% más que en la actualidad. Para alimentar a una población más grande, la producción de alimentos debe aumentar un 70%. Esta demanda ejercerá una presión creciente sobre los ya escasos recursos agrícolas y los agricultores necesitarán nuevas tecnologías para producir más alimentos con menos tierra. </w:t>
      </w:r>
    </w:p>
    <w:p w14:paraId="4228EB28" w14:textId="77777777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</w:rPr>
      </w:pPr>
    </w:p>
    <w:p w14:paraId="36D24143" w14:textId="0BC748CE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</w:rPr>
      </w:pPr>
      <w:r w:rsidRPr="002B3C6D">
        <w:rPr>
          <w:rFonts w:asciiTheme="minorHAnsi" w:eastAsia="Noto Sans Light" w:hAnsiTheme="minorHAnsi" w:cstheme="minorHAnsi"/>
        </w:rPr>
        <w:t xml:space="preserve">Para Percy, “el actual ritmo de avance de la agricultura no es sostenible. La única forma de lograr que lo sea es a través de la innovación. Pero el modelo de innovación actual está desconectado, es lento, está lleno de burocracias y barreras, tiene un costo prohibitivo y es reacio al cambio. La seguridad alimentaria requiere de avances de vanguardia en el análisis de datos, la distribución global y gestión de la cadena de suministros, la evaluación de riesgos, la flexibilidad económica y una comprensión más profunda del clima y las condiciones meteorológicas, así como de las prácticas de sostenibilidad. Está claro que ninguna empresa o gobierno puede resolver la crisis alimentaria por sí solo. Para encontrar una solución duradera tenemos que asociarnos. Y esta es la propuesta que impulsamos desde nuestro </w:t>
      </w:r>
      <w:proofErr w:type="spellStart"/>
      <w:r w:rsidRPr="002B3C6D">
        <w:rPr>
          <w:rFonts w:asciiTheme="minorHAnsi" w:eastAsia="Noto Sans Light" w:hAnsiTheme="minorHAnsi" w:cstheme="minorHAnsi"/>
        </w:rPr>
        <w:t>OpenAg</w:t>
      </w:r>
      <w:proofErr w:type="spellEnd"/>
      <w:r w:rsidRPr="002B3C6D">
        <w:rPr>
          <w:rFonts w:asciiTheme="minorHAnsi" w:eastAsia="Noto Sans Light" w:hAnsiTheme="minorHAnsi" w:cstheme="minorHAnsi"/>
        </w:rPr>
        <w:t xml:space="preserve"> Center”. </w:t>
      </w:r>
    </w:p>
    <w:p w14:paraId="3B1E781D" w14:textId="77777777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</w:rPr>
      </w:pPr>
    </w:p>
    <w:p w14:paraId="1AF2C309" w14:textId="77777777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</w:rPr>
      </w:pPr>
      <w:r w:rsidRPr="002B3C6D">
        <w:rPr>
          <w:rFonts w:asciiTheme="minorHAnsi" w:eastAsia="Noto Sans Light" w:hAnsiTheme="minorHAnsi" w:cstheme="minorHAnsi"/>
        </w:rPr>
        <w:t xml:space="preserve">Desde el flamante centro de I + D, UPL busca acelerar las innovaciones para que lleguen más rápidamente a las manos de los agricultores. En este espacio de casi 14.000 metros cuadrados, UPL cuenta con laboratorios de alta tecnología y un equipo de científicos especializados en soluciones para la agricultura. Las innovaciones allí desarrolladas se orientan a los segmentos de fungicidas, insecticidas, herbicidas, establecimiento de cultivos y biológicos. Pero el verdadero objetivo de UPL es crear asociaciones simbióticas basadas en la innovación colaborativa. Para esto, convoca a la presentación de propuestas por parte de diversos eslabones de la cadena agrícola mundial que deseen probar, refinar, escalar y lanzar nuevas tecnologías que impacten positivamente en la sostenibilidad y el crecimiento de la agricultura. Los interesados en participar pueden tomar contacto desde </w:t>
      </w:r>
      <w:hyperlink r:id="rId6" w:history="1">
        <w:r w:rsidRPr="002B3C6D">
          <w:rPr>
            <w:rStyle w:val="Hipervnculo"/>
            <w:rFonts w:asciiTheme="minorHAnsi" w:eastAsia="Noto Sans Light" w:hAnsiTheme="minorHAnsi" w:cstheme="minorHAnsi"/>
          </w:rPr>
          <w:t>https://www.upl-ltd.com/OpenAg-Center/</w:t>
        </w:r>
      </w:hyperlink>
      <w:r w:rsidRPr="002B3C6D">
        <w:rPr>
          <w:rFonts w:asciiTheme="minorHAnsi" w:eastAsia="Noto Sans Light" w:hAnsiTheme="minorHAnsi" w:cstheme="minorHAnsi"/>
        </w:rPr>
        <w:t xml:space="preserve"> </w:t>
      </w:r>
    </w:p>
    <w:p w14:paraId="6E30E338" w14:textId="77777777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</w:rPr>
      </w:pPr>
    </w:p>
    <w:p w14:paraId="6489C8F6" w14:textId="77777777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</w:rPr>
      </w:pPr>
      <w:r w:rsidRPr="002B3C6D">
        <w:rPr>
          <w:rFonts w:asciiTheme="minorHAnsi" w:eastAsia="Noto Sans Light" w:hAnsiTheme="minorHAnsi" w:cstheme="minorHAnsi"/>
        </w:rPr>
        <w:lastRenderedPageBreak/>
        <w:t xml:space="preserve">Hoy, Percy lidera un equipo que ya está trabajando en 125 nuevas tecnologías y 62 proyectos iniciados este año. </w:t>
      </w:r>
    </w:p>
    <w:p w14:paraId="06A20569" w14:textId="60D69560" w:rsidR="006A17C9" w:rsidRDefault="006A17C9"/>
    <w:p w14:paraId="1F375E3B" w14:textId="77777777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  <w:b/>
        </w:rPr>
      </w:pPr>
      <w:r w:rsidRPr="002B3C6D">
        <w:rPr>
          <w:rFonts w:asciiTheme="minorHAnsi" w:eastAsia="Noto Sans Light" w:hAnsiTheme="minorHAnsi" w:cstheme="minorHAnsi"/>
          <w:b/>
        </w:rPr>
        <w:t>Más colaboración en Expoagro digital</w:t>
      </w:r>
    </w:p>
    <w:p w14:paraId="2A26C704" w14:textId="77777777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  <w:b/>
        </w:rPr>
      </w:pPr>
    </w:p>
    <w:p w14:paraId="2CADA62B" w14:textId="77777777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</w:rPr>
      </w:pPr>
      <w:r w:rsidRPr="002B3C6D">
        <w:rPr>
          <w:rFonts w:asciiTheme="minorHAnsi" w:eastAsia="Noto Sans Light" w:hAnsiTheme="minorHAnsi" w:cstheme="minorHAnsi"/>
        </w:rPr>
        <w:t xml:space="preserve">Más de un centenar de productores trigueros respondieron a la propuesta de UPL denominada Tu asesor online. Con el objetivo de acompañar a los productores en el manejo sanitario del cultivo de trigo, la compañía puso a disposición el conocimiento de los especialistas de la empresa en forma gratuita. </w:t>
      </w:r>
    </w:p>
    <w:p w14:paraId="1CCC7E90" w14:textId="77777777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</w:rPr>
      </w:pPr>
    </w:p>
    <w:p w14:paraId="6C2023F7" w14:textId="63F0B70C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</w:rPr>
      </w:pPr>
      <w:r w:rsidRPr="002B3C6D">
        <w:rPr>
          <w:rFonts w:asciiTheme="minorHAnsi" w:eastAsia="Noto Sans Light" w:hAnsiTheme="minorHAnsi" w:cstheme="minorHAnsi"/>
        </w:rPr>
        <w:t xml:space="preserve">Tras dejar sus datos aquí </w:t>
      </w:r>
      <w:hyperlink r:id="rId7" w:history="1">
        <w:r w:rsidRPr="002B3C6D">
          <w:rPr>
            <w:rFonts w:asciiTheme="minorHAnsi" w:hAnsiTheme="minorHAnsi" w:cstheme="minorHAnsi"/>
          </w:rPr>
          <w:t>https://bit.ly/32P8O2j</w:t>
        </w:r>
      </w:hyperlink>
      <w:r w:rsidRPr="002B3C6D">
        <w:rPr>
          <w:rFonts w:asciiTheme="minorHAnsi" w:eastAsia="Noto Sans Light" w:hAnsiTheme="minorHAnsi" w:cstheme="minorHAnsi"/>
        </w:rPr>
        <w:t xml:space="preserve"> (la propuesta se mantendrá vigente durante toda la campaña de trigo) los productores pueden contar con recomendaciones de monitoreo, ayuda en el reconocimiento de enfermedades y en el manejo sanitario del trigo durante toda la campaña. </w:t>
      </w:r>
    </w:p>
    <w:p w14:paraId="2810A9C7" w14:textId="77777777" w:rsidR="002B3C6D" w:rsidRPr="002B3C6D" w:rsidRDefault="002B3C6D" w:rsidP="002B3C6D">
      <w:pPr>
        <w:jc w:val="both"/>
        <w:rPr>
          <w:rFonts w:asciiTheme="minorHAnsi" w:eastAsia="Noto Sans Light" w:hAnsiTheme="minorHAnsi" w:cstheme="minorHAnsi"/>
        </w:rPr>
      </w:pPr>
    </w:p>
    <w:p w14:paraId="224DF244" w14:textId="569DD6BF" w:rsid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</w:rPr>
      </w:pPr>
      <w:r w:rsidRPr="002B3C6D">
        <w:rPr>
          <w:rFonts w:asciiTheme="minorHAnsi" w:eastAsia="Noto Sans Light" w:hAnsiTheme="minorHAnsi" w:cstheme="minorHAnsi"/>
        </w:rPr>
        <w:t xml:space="preserve">A su vez, los asistentes a Expoagro tienen hasta el cierre de la exposición la posibilidad de aprovechar la propuesta que UPL tiene en el Agroshock de ofertas: quienes adquieran fungicida </w:t>
      </w:r>
      <w:proofErr w:type="spellStart"/>
      <w:r w:rsidRPr="002B3C6D">
        <w:rPr>
          <w:rFonts w:asciiTheme="minorHAnsi" w:eastAsia="Noto Sans Light" w:hAnsiTheme="minorHAnsi" w:cstheme="minorHAnsi"/>
        </w:rPr>
        <w:t>Tridium</w:t>
      </w:r>
      <w:proofErr w:type="spellEnd"/>
      <w:r w:rsidRPr="002B3C6D">
        <w:rPr>
          <w:rFonts w:asciiTheme="minorHAnsi" w:eastAsia="Noto Sans Light" w:hAnsiTheme="minorHAnsi" w:cstheme="minorHAnsi"/>
        </w:rPr>
        <w:t xml:space="preserve"> para el tratamiento de 30 hectáreas de trigo podrán llevarse gratis el producto para el control de enfermedades en 10 hectáreas más. </w:t>
      </w:r>
      <w:proofErr w:type="spellStart"/>
      <w:r w:rsidRPr="002B3C6D">
        <w:rPr>
          <w:rFonts w:asciiTheme="minorHAnsi" w:eastAsia="Noto Sans Light" w:hAnsiTheme="minorHAnsi" w:cstheme="minorHAnsi"/>
        </w:rPr>
        <w:t>Tridium</w:t>
      </w:r>
      <w:proofErr w:type="spellEnd"/>
      <w:r w:rsidRPr="002B3C6D">
        <w:rPr>
          <w:rFonts w:asciiTheme="minorHAnsi" w:eastAsia="Noto Sans Light" w:hAnsiTheme="minorHAnsi" w:cstheme="minorHAnsi"/>
        </w:rPr>
        <w:t xml:space="preserve"> es un fungicida triple mezcla, sistémico y </w:t>
      </w:r>
      <w:proofErr w:type="spellStart"/>
      <w:r w:rsidRPr="002B3C6D">
        <w:rPr>
          <w:rFonts w:asciiTheme="minorHAnsi" w:eastAsia="Noto Sans Light" w:hAnsiTheme="minorHAnsi" w:cstheme="minorHAnsi"/>
        </w:rPr>
        <w:t>multisitio</w:t>
      </w:r>
      <w:proofErr w:type="spellEnd"/>
      <w:r w:rsidRPr="002B3C6D">
        <w:rPr>
          <w:rFonts w:asciiTheme="minorHAnsi" w:eastAsia="Noto Sans Light" w:hAnsiTheme="minorHAnsi" w:cstheme="minorHAnsi"/>
        </w:rPr>
        <w:t xml:space="preserve"> que combina tres modos de acción diferentes y de esta forma previene la generación de resistencias. </w:t>
      </w:r>
    </w:p>
    <w:p w14:paraId="004444DE" w14:textId="37B6B306" w:rsid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</w:rPr>
      </w:pPr>
    </w:p>
    <w:p w14:paraId="76FEBF5F" w14:textId="53FA7F39" w:rsidR="002B3C6D" w:rsidRP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rFonts w:asciiTheme="minorHAnsi" w:eastAsia="Noto Sans Light" w:hAnsiTheme="minorHAnsi" w:cstheme="minorHAnsi"/>
        </w:rPr>
      </w:pPr>
      <w:r>
        <w:rPr>
          <w:rFonts w:asciiTheme="minorHAnsi" w:eastAsia="Noto Sans Light" w:hAnsiTheme="minorHAnsi" w:cstheme="minorHAnsi"/>
        </w:rPr>
        <w:t xml:space="preserve">Más información en: </w:t>
      </w:r>
      <w:hyperlink r:id="rId8" w:history="1">
        <w:r w:rsidRPr="00FE6101">
          <w:rPr>
            <w:rStyle w:val="Hipervnculo"/>
            <w:rFonts w:asciiTheme="minorHAnsi" w:eastAsia="Noto Sans Light" w:hAnsiTheme="minorHAnsi" w:cstheme="minorHAnsi"/>
          </w:rPr>
          <w:t>https://www.expoagro.com.ar/expoagrodigital/</w:t>
        </w:r>
      </w:hyperlink>
      <w:r>
        <w:rPr>
          <w:rFonts w:asciiTheme="minorHAnsi" w:eastAsia="Noto Sans Light" w:hAnsiTheme="minorHAnsi" w:cstheme="minorHAnsi"/>
        </w:rPr>
        <w:t xml:space="preserve"> </w:t>
      </w:r>
    </w:p>
    <w:p w14:paraId="2353CC4F" w14:textId="77777777" w:rsidR="002B3C6D" w:rsidRDefault="002B3C6D" w:rsidP="002B3C6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</w:p>
    <w:p w14:paraId="232D62E3" w14:textId="77777777" w:rsidR="002B3C6D" w:rsidRDefault="002B3C6D"/>
    <w:sectPr w:rsidR="002B3C6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92AB0" w14:textId="77777777" w:rsidR="00B84E09" w:rsidRDefault="00B84E09" w:rsidP="00294F4D">
      <w:r>
        <w:separator/>
      </w:r>
    </w:p>
  </w:endnote>
  <w:endnote w:type="continuationSeparator" w:id="0">
    <w:p w14:paraId="61A2DBED" w14:textId="77777777" w:rsidR="00B84E09" w:rsidRDefault="00B84E09" w:rsidP="0029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isp ExtLt">
    <w:altName w:val="Calibri"/>
    <w:charset w:val="00"/>
    <w:family w:val="swiss"/>
    <w:pitch w:val="variable"/>
    <w:sig w:usb0="E00002FF" w:usb1="4000001F" w:usb2="08000029" w:usb3="00000000" w:csb0="00000001" w:csb1="00000000"/>
  </w:font>
  <w:font w:name="Noto Sans Light">
    <w:altName w:val="Calibri"/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F2C8" w14:textId="4B40D71E" w:rsidR="00294F4D" w:rsidRDefault="00294F4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F16C34" wp14:editId="265B5644">
          <wp:simplePos x="0" y="0"/>
          <wp:positionH relativeFrom="page">
            <wp:posOffset>38100</wp:posOffset>
          </wp:positionH>
          <wp:positionV relativeFrom="paragraph">
            <wp:posOffset>-161925</wp:posOffset>
          </wp:positionV>
          <wp:extent cx="7560000" cy="532800"/>
          <wp:effectExtent l="0" t="0" r="3175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49699" w14:textId="77777777" w:rsidR="00B84E09" w:rsidRDefault="00B84E09" w:rsidP="00294F4D">
      <w:r>
        <w:separator/>
      </w:r>
    </w:p>
  </w:footnote>
  <w:footnote w:type="continuationSeparator" w:id="0">
    <w:p w14:paraId="784DF0CC" w14:textId="77777777" w:rsidR="00B84E09" w:rsidRDefault="00B84E09" w:rsidP="00294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4B40E" w14:textId="574D2C32" w:rsidR="00294F4D" w:rsidRDefault="00294F4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846AE" wp14:editId="1960F4A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0000" cy="1119600"/>
          <wp:effectExtent l="0" t="0" r="3175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4D"/>
    <w:rsid w:val="00294F4D"/>
    <w:rsid w:val="002B3C6D"/>
    <w:rsid w:val="006A17C9"/>
    <w:rsid w:val="00B84E09"/>
    <w:rsid w:val="00C6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6CD5DC"/>
  <w15:chartTrackingRefBased/>
  <w15:docId w15:val="{CD174918-72B0-4261-8662-0C9658DC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C6D"/>
    <w:pPr>
      <w:spacing w:after="0" w:line="240" w:lineRule="auto"/>
    </w:pPr>
    <w:rPr>
      <w:rFonts w:ascii="Calibri" w:eastAsia="Calibri" w:hAnsi="Calibri" w:cs="Calibri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F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94F4D"/>
  </w:style>
  <w:style w:type="paragraph" w:styleId="Piedepgina">
    <w:name w:val="footer"/>
    <w:basedOn w:val="Normal"/>
    <w:link w:val="PiedepginaCar"/>
    <w:uiPriority w:val="99"/>
    <w:unhideWhenUsed/>
    <w:rsid w:val="00294F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4F4D"/>
  </w:style>
  <w:style w:type="character" w:styleId="Hipervnculo">
    <w:name w:val="Hyperlink"/>
    <w:basedOn w:val="Fuentedeprrafopredeter"/>
    <w:uiPriority w:val="99"/>
    <w:unhideWhenUsed/>
    <w:rsid w:val="002B3C6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3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agro.com.ar/expoagrodigit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2P8O2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l-ltd.com/OpenAg-Cente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2</cp:revision>
  <dcterms:created xsi:type="dcterms:W3CDTF">2020-09-11T14:06:00Z</dcterms:created>
  <dcterms:modified xsi:type="dcterms:W3CDTF">2020-09-11T14:06:00Z</dcterms:modified>
</cp:coreProperties>
</file>