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270D3" w14:textId="77777777" w:rsidR="00A33D1A" w:rsidRDefault="00A33D1A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34CB7EFC" w14:textId="77777777" w:rsidR="000B6808" w:rsidRDefault="000B6808" w:rsidP="000B6808">
      <w:pPr>
        <w:spacing w:before="240"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 Congreso </w:t>
      </w:r>
      <w:proofErr w:type="spellStart"/>
      <w:r>
        <w:rPr>
          <w:b/>
          <w:bCs/>
          <w:sz w:val="28"/>
          <w:szCs w:val="28"/>
        </w:rPr>
        <w:t>Aapresid</w:t>
      </w:r>
      <w:proofErr w:type="spellEnd"/>
      <w:r>
        <w:rPr>
          <w:b/>
          <w:bCs/>
          <w:sz w:val="28"/>
          <w:szCs w:val="28"/>
        </w:rPr>
        <w:t xml:space="preserve"> 2026 reunirá en Rosario a toda la cadena agroindustrial: de la semilla a la mesa</w:t>
      </w:r>
    </w:p>
    <w:p w14:paraId="7DD35E36" w14:textId="044515F7" w:rsidR="000B6808" w:rsidRDefault="000B6808" w:rsidP="000B6808">
      <w:pPr>
        <w:spacing w:before="240" w:after="240"/>
        <w:jc w:val="center"/>
        <w:rPr>
          <w:b/>
          <w:bCs/>
        </w:rPr>
      </w:pPr>
      <w:r>
        <w:rPr>
          <w:b/>
          <w:bCs/>
        </w:rPr>
        <w:t xml:space="preserve">Del martes 4 al mediodía al jueves 6 de agosto, el </w:t>
      </w:r>
      <w:hyperlink r:id="rId7">
        <w:r>
          <w:rPr>
            <w:b/>
            <w:bCs/>
            <w:color w:val="1155CC"/>
            <w:u w:val="single"/>
          </w:rPr>
          <w:t xml:space="preserve">Congreso </w:t>
        </w:r>
        <w:proofErr w:type="spellStart"/>
        <w:r>
          <w:rPr>
            <w:b/>
            <w:bCs/>
            <w:color w:val="1155CC"/>
            <w:u w:val="single"/>
          </w:rPr>
          <w:t>Aapresid</w:t>
        </w:r>
        <w:proofErr w:type="spellEnd"/>
        <w:r>
          <w:rPr>
            <w:b/>
            <w:bCs/>
            <w:color w:val="1155CC"/>
            <w:u w:val="single"/>
          </w:rPr>
          <w:t xml:space="preserve"> 2026, con la fuerza de Expoagro</w:t>
        </w:r>
      </w:hyperlink>
      <w:r>
        <w:rPr>
          <w:b/>
          <w:bCs/>
        </w:rPr>
        <w:t>, ya confirmó la participación de un mapa de empresas que representan, de la semilla al puerto, todo el ecosistema agroindustrial argentino, nada menos que en uno de sus epicentros: Rosario, Santa Fe.</w:t>
      </w:r>
    </w:p>
    <w:p w14:paraId="30D24790" w14:textId="77777777" w:rsidR="000B6808" w:rsidRDefault="000B6808" w:rsidP="000B6808">
      <w:pPr>
        <w:spacing w:before="240" w:after="240"/>
        <w:rPr>
          <w:b/>
          <w:bCs/>
        </w:rPr>
      </w:pPr>
      <w:hyperlink r:id="rId8">
        <w:r>
          <w:rPr>
            <w:b/>
            <w:bCs/>
            <w:color w:val="1155CC"/>
            <w:u w:val="single"/>
          </w:rPr>
          <w:t>FOTO</w:t>
        </w:r>
      </w:hyperlink>
    </w:p>
    <w:p w14:paraId="0E10223A" w14:textId="77777777" w:rsidR="000B6808" w:rsidRDefault="000B6808" w:rsidP="000B6808">
      <w:pPr>
        <w:spacing w:before="240" w:after="240"/>
      </w:pPr>
      <w:r>
        <w:t xml:space="preserve">Genética, nutrición, protección de cultivos, insumos biológicos, maquinaria, agricultura de precisión y </w:t>
      </w:r>
      <w:proofErr w:type="spellStart"/>
      <w:r>
        <w:t>Agtech</w:t>
      </w:r>
      <w:proofErr w:type="spellEnd"/>
      <w:r>
        <w:t xml:space="preserve">, energía, seguro, consultoría, las principales firmas acopiadoras y exportadoras y un sistema bancario que llega prácticamente completo. </w:t>
      </w:r>
    </w:p>
    <w:p w14:paraId="1BFDC66B" w14:textId="77777777" w:rsidR="000B6808" w:rsidRDefault="000B6808" w:rsidP="000B6808">
      <w:pPr>
        <w:spacing w:before="240" w:after="240"/>
        <w:rPr>
          <w:i/>
          <w:iCs/>
          <w:u w:val="single"/>
        </w:rPr>
      </w:pPr>
      <w:r>
        <w:rPr>
          <w:i/>
          <w:iCs/>
          <w:u w:val="single"/>
        </w:rPr>
        <w:t>La genética, primer eslabón de la cadena</w:t>
      </w:r>
    </w:p>
    <w:p w14:paraId="71B1A4F3" w14:textId="77777777" w:rsidR="000B6808" w:rsidRDefault="000B6808" w:rsidP="000B6808">
      <w:pPr>
        <w:spacing w:before="240" w:after="240"/>
      </w:pPr>
      <w:r>
        <w:t xml:space="preserve">Entre las confirmaciones aparecen </w:t>
      </w:r>
      <w:proofErr w:type="spellStart"/>
      <w:r>
        <w:rPr>
          <w:b/>
          <w:bCs/>
        </w:rPr>
        <w:t>Corteva</w:t>
      </w:r>
      <w:proofErr w:type="spellEnd"/>
      <w:r>
        <w:rPr>
          <w:b/>
          <w:bCs/>
        </w:rPr>
        <w:t>, Pioneer/</w:t>
      </w:r>
      <w:proofErr w:type="spellStart"/>
      <w:r>
        <w:rPr>
          <w:b/>
          <w:bCs/>
        </w:rPr>
        <w:t>Brevant</w:t>
      </w:r>
      <w:proofErr w:type="spellEnd"/>
      <w:r>
        <w:rPr>
          <w:b/>
          <w:bCs/>
        </w:rPr>
        <w:t xml:space="preserve">, NK (Syngenta), RAGT, Sumitomo y </w:t>
      </w:r>
      <w:proofErr w:type="spellStart"/>
      <w:r>
        <w:rPr>
          <w:b/>
          <w:bCs/>
        </w:rPr>
        <w:t>Zinma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Seeds</w:t>
      </w:r>
      <w:proofErr w:type="spellEnd"/>
      <w:r>
        <w:rPr>
          <w:b/>
          <w:bCs/>
        </w:rPr>
        <w:t>,</w:t>
      </w:r>
      <w:r>
        <w:t xml:space="preserve"> referentes del segmento de semillas. Cada campaña empieza con esa decisión —qué genética sembrar— y el Congreso vuelve a ser el espacio donde esa definición se cruza con la información técnica que generan los productores, los criaderos y las propias redes de ensayos de </w:t>
      </w:r>
      <w:proofErr w:type="spellStart"/>
      <w:r>
        <w:t>Aapresid</w:t>
      </w:r>
      <w:proofErr w:type="spellEnd"/>
      <w:r>
        <w:t>.</w:t>
      </w:r>
    </w:p>
    <w:p w14:paraId="4711F351" w14:textId="77777777" w:rsidR="000B6808" w:rsidRDefault="000B6808" w:rsidP="000B6808">
      <w:pPr>
        <w:spacing w:before="240" w:after="240"/>
        <w:rPr>
          <w:i/>
          <w:iCs/>
          <w:u w:val="single"/>
        </w:rPr>
      </w:pPr>
      <w:r>
        <w:rPr>
          <w:i/>
          <w:iCs/>
          <w:u w:val="single"/>
        </w:rPr>
        <w:t>Protección de cultivos, nutrición y el boom de los biológicos</w:t>
      </w:r>
    </w:p>
    <w:p w14:paraId="16B039C7" w14:textId="77777777" w:rsidR="000B6808" w:rsidRDefault="000B6808" w:rsidP="000B6808">
      <w:pPr>
        <w:spacing w:before="240" w:after="240"/>
      </w:pPr>
      <w:r>
        <w:t xml:space="preserve">En el segmento de fitosanitarios ya dijeron “presente” </w:t>
      </w:r>
      <w:r>
        <w:rPr>
          <w:b/>
          <w:bCs/>
        </w:rPr>
        <w:t xml:space="preserve">Bayer, BASF, UPL, Syngenta, </w:t>
      </w:r>
      <w:proofErr w:type="spellStart"/>
      <w:r>
        <w:rPr>
          <w:b/>
          <w:bCs/>
        </w:rPr>
        <w:t>Corteva</w:t>
      </w:r>
      <w:proofErr w:type="spellEnd"/>
      <w:r>
        <w:rPr>
          <w:b/>
          <w:bCs/>
        </w:rPr>
        <w:t xml:space="preserve"> y Sumitomo</w:t>
      </w:r>
      <w:r>
        <w:t xml:space="preserve">, mientras que la nutrición vegetal tendrá representación de </w:t>
      </w:r>
      <w:r>
        <w:rPr>
          <w:b/>
          <w:bCs/>
        </w:rPr>
        <w:t>Yara, TIMAC, OCP y Sigma,</w:t>
      </w:r>
      <w:r>
        <w:t xml:space="preserve"> un área que gana protagonismo a medida que los suelos acumulan años de agricultura continua.</w:t>
      </w:r>
    </w:p>
    <w:p w14:paraId="01A5487C" w14:textId="77777777" w:rsidR="000B6808" w:rsidRDefault="000B6808" w:rsidP="000B6808">
      <w:pPr>
        <w:spacing w:before="240" w:after="240"/>
        <w:rPr>
          <w:b/>
          <w:bCs/>
        </w:rPr>
      </w:pPr>
      <w:r>
        <w:t>Pero si hay un fenómeno que se nota a simple vista en el listado de empresas confirmadas, es el peso de los</w:t>
      </w:r>
      <w:r>
        <w:rPr>
          <w:b/>
          <w:bCs/>
        </w:rPr>
        <w:t xml:space="preserve"> biológicos y el </w:t>
      </w:r>
      <w:proofErr w:type="spellStart"/>
      <w:r>
        <w:rPr>
          <w:b/>
          <w:bCs/>
        </w:rPr>
        <w:t>biocontrol</w:t>
      </w:r>
      <w:proofErr w:type="spellEnd"/>
      <w:r>
        <w:rPr>
          <w:b/>
          <w:bCs/>
        </w:rPr>
        <w:t xml:space="preserve">. </w:t>
      </w:r>
      <w:proofErr w:type="spellStart"/>
      <w:r>
        <w:rPr>
          <w:b/>
          <w:bCs/>
        </w:rPr>
        <w:t>Koppert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Biofilm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Biologika</w:t>
      </w:r>
      <w:proofErr w:type="spellEnd"/>
      <w:r>
        <w:rPr>
          <w:b/>
          <w:bCs/>
        </w:rPr>
        <w:t xml:space="preserve">, Akron, Puna Bio, </w:t>
      </w:r>
      <w:proofErr w:type="spellStart"/>
      <w:r>
        <w:rPr>
          <w:b/>
          <w:bCs/>
        </w:rPr>
        <w:t>Tropfen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Maxan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Agrospray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Spraytec</w:t>
      </w:r>
      <w:proofErr w:type="spellEnd"/>
      <w:r>
        <w:rPr>
          <w:b/>
          <w:bCs/>
        </w:rPr>
        <w:t xml:space="preserve">, </w:t>
      </w:r>
      <w:r>
        <w:t xml:space="preserve">conforman un pelotón cada vez más numeroso, en sintonía con el avance de la agricultura regenerativa y la búsqueda de alternativas o complementos a los insumos tradicionales. No es casual: </w:t>
      </w:r>
      <w:r>
        <w:rPr>
          <w:b/>
          <w:bCs/>
        </w:rPr>
        <w:t xml:space="preserve">las herramientas que combinan tecnología con Ecología están en el ADN de </w:t>
      </w:r>
      <w:proofErr w:type="spellStart"/>
      <w:r>
        <w:rPr>
          <w:b/>
          <w:bCs/>
        </w:rPr>
        <w:t>Aapresid</w:t>
      </w:r>
      <w:proofErr w:type="spellEnd"/>
      <w:r>
        <w:rPr>
          <w:b/>
          <w:bCs/>
        </w:rPr>
        <w:t>, y este Congreso vuelve a confirmarse como su vidriera natural.</w:t>
      </w:r>
    </w:p>
    <w:p w14:paraId="3CDA7192" w14:textId="77777777" w:rsidR="000B6808" w:rsidRDefault="000B6808" w:rsidP="000B6808">
      <w:pPr>
        <w:spacing w:before="240" w:after="240"/>
        <w:rPr>
          <w:i/>
          <w:iCs/>
          <w:u w:val="single"/>
        </w:rPr>
      </w:pPr>
      <w:r>
        <w:rPr>
          <w:i/>
          <w:iCs/>
          <w:u w:val="single"/>
        </w:rPr>
        <w:t xml:space="preserve">Maquinaria, precisión y </w:t>
      </w:r>
      <w:proofErr w:type="spellStart"/>
      <w:r>
        <w:rPr>
          <w:i/>
          <w:iCs/>
          <w:u w:val="single"/>
        </w:rPr>
        <w:t>Agtech</w:t>
      </w:r>
      <w:proofErr w:type="spellEnd"/>
      <w:r>
        <w:rPr>
          <w:i/>
          <w:iCs/>
          <w:u w:val="single"/>
        </w:rPr>
        <w:t>: tecnología que se ve y se toca</w:t>
      </w:r>
    </w:p>
    <w:p w14:paraId="2343D48B" w14:textId="77777777" w:rsidR="000B6808" w:rsidRDefault="000B6808" w:rsidP="000B6808">
      <w:pPr>
        <w:spacing w:before="240" w:after="240"/>
      </w:pPr>
      <w:r>
        <w:rPr>
          <w:b/>
          <w:bCs/>
        </w:rPr>
        <w:t xml:space="preserve">John Deere, </w:t>
      </w:r>
      <w:proofErr w:type="spellStart"/>
      <w:r>
        <w:rPr>
          <w:b/>
          <w:bCs/>
        </w:rPr>
        <w:t>Valtra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Precision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Planting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Ligier</w:t>
      </w:r>
      <w:proofErr w:type="spellEnd"/>
      <w:r>
        <w:rPr>
          <w:b/>
          <w:bCs/>
        </w:rPr>
        <w:t xml:space="preserve">, Jacto, </w:t>
      </w:r>
      <w:proofErr w:type="spellStart"/>
      <w:r>
        <w:rPr>
          <w:b/>
          <w:bCs/>
        </w:rPr>
        <w:t>Cuffia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Fercam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Invezta</w:t>
      </w:r>
      <w:proofErr w:type="spellEnd"/>
      <w:r>
        <w:rPr>
          <w:b/>
          <w:bCs/>
        </w:rPr>
        <w:t xml:space="preserve">, Caimán, </w:t>
      </w:r>
      <w:proofErr w:type="spellStart"/>
      <w:r>
        <w:rPr>
          <w:b/>
          <w:bCs/>
        </w:rPr>
        <w:t>Tainar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Fabimag</w:t>
      </w:r>
      <w:proofErr w:type="spellEnd"/>
      <w:r>
        <w:rPr>
          <w:b/>
          <w:bCs/>
        </w:rPr>
        <w:t xml:space="preserve"> y Siembra Neumática </w:t>
      </w:r>
      <w:r>
        <w:t xml:space="preserve">llevarán a Rosario lo último en tractores, pulverizadoras, sembradoras y dosificación variable. </w:t>
      </w:r>
    </w:p>
    <w:p w14:paraId="7C3DAA04" w14:textId="77777777" w:rsidR="000B6808" w:rsidRDefault="000B6808" w:rsidP="000B6808">
      <w:pPr>
        <w:spacing w:before="240" w:after="240"/>
      </w:pPr>
      <w:r>
        <w:t xml:space="preserve">Los </w:t>
      </w:r>
      <w:r>
        <w:rPr>
          <w:b/>
          <w:bCs/>
        </w:rPr>
        <w:t xml:space="preserve">drones </w:t>
      </w:r>
      <w:r>
        <w:t xml:space="preserve">son otra de las tecnologías que gana terreno, y que aterrizará en el Congreso de la mano de firmas como </w:t>
      </w:r>
      <w:proofErr w:type="spellStart"/>
      <w:r>
        <w:rPr>
          <w:b/>
          <w:bCs/>
        </w:rPr>
        <w:t>Bidcom</w:t>
      </w:r>
      <w:proofErr w:type="spellEnd"/>
      <w:r>
        <w:rPr>
          <w:b/>
          <w:bCs/>
        </w:rPr>
        <w:t xml:space="preserve"> </w:t>
      </w:r>
      <w:r>
        <w:t xml:space="preserve">y </w:t>
      </w:r>
      <w:proofErr w:type="spellStart"/>
      <w:r>
        <w:rPr>
          <w:b/>
          <w:bCs/>
        </w:rPr>
        <w:t>DyE</w:t>
      </w:r>
      <w:proofErr w:type="spellEnd"/>
      <w:r>
        <w:t>.</w:t>
      </w:r>
    </w:p>
    <w:p w14:paraId="64B04D44" w14:textId="77777777" w:rsidR="000B6808" w:rsidRDefault="000B6808" w:rsidP="000B6808">
      <w:pPr>
        <w:spacing w:before="240" w:after="240"/>
      </w:pPr>
      <w:hyperlink r:id="rId9">
        <w:r>
          <w:rPr>
            <w:color w:val="1155CC"/>
            <w:u w:val="single"/>
          </w:rPr>
          <w:t>FOTO</w:t>
        </w:r>
      </w:hyperlink>
    </w:p>
    <w:p w14:paraId="5A91269B" w14:textId="77777777" w:rsidR="000B6808" w:rsidRDefault="000B6808" w:rsidP="000B6808">
      <w:pPr>
        <w:spacing w:before="240" w:after="240"/>
      </w:pPr>
      <w:r>
        <w:lastRenderedPageBreak/>
        <w:t xml:space="preserve">Pero los fierros se integran cada vez más a las </w:t>
      </w:r>
      <w:proofErr w:type="spellStart"/>
      <w:r>
        <w:t>Agtech</w:t>
      </w:r>
      <w:proofErr w:type="spellEnd"/>
      <w:r>
        <w:t xml:space="preserve"> y toda su oferta de soluciones para mejorar la recopilación y análisis de datos y la toma de decisiones, desde lo productivo a lo comercial. </w:t>
      </w:r>
      <w:proofErr w:type="spellStart"/>
      <w:r>
        <w:rPr>
          <w:b/>
          <w:bCs/>
        </w:rPr>
        <w:t>Geoagris</w:t>
      </w:r>
      <w:proofErr w:type="spellEnd"/>
      <w:r>
        <w:rPr>
          <w:b/>
          <w:bCs/>
        </w:rPr>
        <w:t xml:space="preserve">, Albor, </w:t>
      </w:r>
      <w:proofErr w:type="spellStart"/>
      <w:r>
        <w:rPr>
          <w:b/>
          <w:bCs/>
        </w:rPr>
        <w:t>Agritec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Acronex</w:t>
      </w:r>
      <w:proofErr w:type="spellEnd"/>
      <w:r>
        <w:rPr>
          <w:b/>
          <w:bCs/>
        </w:rPr>
        <w:t xml:space="preserve"> </w:t>
      </w:r>
      <w:r>
        <w:t>son las firmas que ya forman parte de la grilla de confirmados de este segmento.</w:t>
      </w:r>
    </w:p>
    <w:p w14:paraId="0D8300A6" w14:textId="77777777" w:rsidR="000B6808" w:rsidRDefault="000B6808" w:rsidP="000B6808">
      <w:pPr>
        <w:spacing w:before="240" w:after="240"/>
      </w:pPr>
      <w:r>
        <w:t xml:space="preserve">En esa misma línea, </w:t>
      </w:r>
      <w:r>
        <w:rPr>
          <w:b/>
          <w:bCs/>
        </w:rPr>
        <w:t xml:space="preserve">el </w:t>
      </w:r>
      <w:hyperlink r:id="rId10">
        <w:r>
          <w:rPr>
            <w:b/>
            <w:bCs/>
            <w:color w:val="1155CC"/>
            <w:u w:val="single"/>
          </w:rPr>
          <w:t xml:space="preserve">Congreso </w:t>
        </w:r>
        <w:proofErr w:type="spellStart"/>
        <w:r>
          <w:rPr>
            <w:b/>
            <w:bCs/>
            <w:color w:val="1155CC"/>
            <w:u w:val="single"/>
          </w:rPr>
          <w:t>Aapresid</w:t>
        </w:r>
        <w:proofErr w:type="spellEnd"/>
      </w:hyperlink>
      <w:r>
        <w:rPr>
          <w:b/>
          <w:bCs/>
        </w:rPr>
        <w:t xml:space="preserve">, con la fuerza de Expoagro, será una de las sedes del </w:t>
      </w:r>
      <w:hyperlink r:id="rId11">
        <w:proofErr w:type="spellStart"/>
        <w:r>
          <w:rPr>
            <w:b/>
            <w:bCs/>
            <w:color w:val="1155CC"/>
            <w:u w:val="single"/>
          </w:rPr>
          <w:t>Agtech</w:t>
        </w:r>
        <w:proofErr w:type="spellEnd"/>
        <w:r>
          <w:rPr>
            <w:b/>
            <w:bCs/>
            <w:color w:val="1155CC"/>
            <w:u w:val="single"/>
          </w:rPr>
          <w:t xml:space="preserve"> </w:t>
        </w:r>
        <w:proofErr w:type="spellStart"/>
        <w:r>
          <w:rPr>
            <w:b/>
            <w:bCs/>
            <w:color w:val="1155CC"/>
            <w:u w:val="single"/>
          </w:rPr>
          <w:t>Forum</w:t>
        </w:r>
        <w:proofErr w:type="spellEnd"/>
      </w:hyperlink>
      <w:r>
        <w:t xml:space="preserve">, evento de tecnologías liderado por </w:t>
      </w:r>
      <w:proofErr w:type="spellStart"/>
      <w:r>
        <w:t>Innventure</w:t>
      </w:r>
      <w:proofErr w:type="spellEnd"/>
      <w:r>
        <w:t xml:space="preserve"> y la Bolsa de Comercio de Rosario. La agenda del foro en el marco del Congreso comprende actividades pensadas para conectar startups, empresas, inversores y actores del ecosistema emprendedor. El complemento ideal de esta iniciativa será el </w:t>
      </w:r>
      <w:r>
        <w:rPr>
          <w:b/>
          <w:bCs/>
        </w:rPr>
        <w:t xml:space="preserve">Espacio </w:t>
      </w:r>
      <w:proofErr w:type="spellStart"/>
      <w:r>
        <w:rPr>
          <w:b/>
          <w:bCs/>
        </w:rPr>
        <w:t>Agtech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Aapresid</w:t>
      </w:r>
      <w:proofErr w:type="spellEnd"/>
      <w:r>
        <w:rPr>
          <w:b/>
          <w:bCs/>
        </w:rPr>
        <w:t xml:space="preserve"> potenciado por </w:t>
      </w:r>
      <w:proofErr w:type="spellStart"/>
      <w:r>
        <w:rPr>
          <w:b/>
          <w:bCs/>
        </w:rPr>
        <w:t>Innventure</w:t>
      </w:r>
      <w:proofErr w:type="spellEnd"/>
      <w:r>
        <w:t xml:space="preserve">, con más de 150 metros cuadrados dedicados a charlas, intercambio y una nueva edición del </w:t>
      </w:r>
      <w:proofErr w:type="spellStart"/>
      <w:r>
        <w:rPr>
          <w:b/>
          <w:bCs/>
        </w:rPr>
        <w:t>Agtech</w:t>
      </w:r>
      <w:proofErr w:type="spellEnd"/>
      <w:r>
        <w:rPr>
          <w:b/>
          <w:bCs/>
        </w:rPr>
        <w:t xml:space="preserve"> Demo Day</w:t>
      </w:r>
      <w:r>
        <w:t>, donde emprendimientos tecnológicos presentarán desarrollos aplicados a los desafíos del agro.</w:t>
      </w:r>
    </w:p>
    <w:p w14:paraId="75BC88D7" w14:textId="77777777" w:rsidR="000B6808" w:rsidRDefault="000B6808" w:rsidP="000B6808">
      <w:pPr>
        <w:spacing w:before="240" w:after="240"/>
      </w:pPr>
      <w:hyperlink r:id="rId12">
        <w:r>
          <w:rPr>
            <w:b/>
            <w:bCs/>
            <w:color w:val="1155CC"/>
            <w:u w:val="single"/>
          </w:rPr>
          <w:t>FOTO</w:t>
        </w:r>
      </w:hyperlink>
    </w:p>
    <w:p w14:paraId="5CDA8435" w14:textId="77777777" w:rsidR="000B6808" w:rsidRDefault="000B6808" w:rsidP="000B6808">
      <w:pPr>
        <w:spacing w:before="240" w:after="240"/>
        <w:rPr>
          <w:i/>
          <w:iCs/>
          <w:u w:val="single"/>
        </w:rPr>
      </w:pPr>
      <w:r>
        <w:rPr>
          <w:i/>
          <w:iCs/>
          <w:u w:val="single"/>
        </w:rPr>
        <w:t>De la tranquera al puerto, y la energía que mueve todo</w:t>
      </w:r>
    </w:p>
    <w:p w14:paraId="460ED8DE" w14:textId="77777777" w:rsidR="000B6808" w:rsidRDefault="000B6808" w:rsidP="000B6808">
      <w:pPr>
        <w:spacing w:before="240" w:after="240"/>
      </w:pPr>
      <w:r>
        <w:rPr>
          <w:b/>
          <w:bCs/>
        </w:rPr>
        <w:t>Bunge, LDC (Louis Dreyfus), ACA y AFA</w:t>
      </w:r>
      <w:r>
        <w:t xml:space="preserve"> representan el destino de la producción: exportación, procesamiento e industrialización. Su presencia conecta al productor con los mercados internacionales. A eso se suma </w:t>
      </w:r>
      <w:r>
        <w:rPr>
          <w:b/>
          <w:bCs/>
        </w:rPr>
        <w:t>YPF</w:t>
      </w:r>
      <w:r>
        <w:t>, que aporta la mirada energética, un insumo que atraviesa absolutamente toda la actividad agropecuaria.</w:t>
      </w:r>
    </w:p>
    <w:p w14:paraId="42A2A0E7" w14:textId="77777777" w:rsidR="000B6808" w:rsidRDefault="000B6808" w:rsidP="000B6808">
      <w:pPr>
        <w:spacing w:before="240" w:after="240"/>
      </w:pPr>
      <w:r>
        <w:t xml:space="preserve">Dentro de las salas, firmas como </w:t>
      </w:r>
      <w:r>
        <w:rPr>
          <w:b/>
          <w:bCs/>
        </w:rPr>
        <w:t xml:space="preserve">Bimbo, Cargill, </w:t>
      </w:r>
      <w:proofErr w:type="spellStart"/>
      <w:r>
        <w:rPr>
          <w:b/>
          <w:bCs/>
        </w:rPr>
        <w:t>Pepsico</w:t>
      </w:r>
      <w:proofErr w:type="spellEnd"/>
      <w:r>
        <w:rPr>
          <w:b/>
          <w:bCs/>
        </w:rPr>
        <w:t xml:space="preserve"> y Nestlé</w:t>
      </w:r>
      <w:r>
        <w:t xml:space="preserve"> participarán de paneles de debate para hablar sobre el futuro de la integración entre la producción y la industria agroalimentaria.</w:t>
      </w:r>
    </w:p>
    <w:p w14:paraId="7403991A" w14:textId="77777777" w:rsidR="000B6808" w:rsidRDefault="000B6808" w:rsidP="000B6808">
      <w:pPr>
        <w:spacing w:before="240" w:after="240"/>
        <w:rPr>
          <w:i/>
          <w:iCs/>
          <w:u w:val="single"/>
        </w:rPr>
      </w:pPr>
      <w:r>
        <w:rPr>
          <w:i/>
          <w:iCs/>
          <w:u w:val="single"/>
        </w:rPr>
        <w:t>Bancos y seguros: el músculo financiero de la próxima campaña</w:t>
      </w:r>
    </w:p>
    <w:p w14:paraId="49157CD2" w14:textId="77777777" w:rsidR="000B6808" w:rsidRDefault="000B6808" w:rsidP="000B6808">
      <w:pPr>
        <w:spacing w:before="240" w:after="240"/>
      </w:pPr>
      <w:r>
        <w:t xml:space="preserve">Uno de los datos más fuertes de esta edición es la representación bancaria. </w:t>
      </w:r>
      <w:r>
        <w:rPr>
          <w:b/>
          <w:bCs/>
        </w:rPr>
        <w:t xml:space="preserve">Banco Galicia, BBVA, Banco Santander, Banco Nación, Banco Provincia, Banco Macro, </w:t>
      </w:r>
      <w:proofErr w:type="spellStart"/>
      <w:r>
        <w:rPr>
          <w:b/>
          <w:bCs/>
        </w:rPr>
        <w:t>Comafi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Nera</w:t>
      </w:r>
      <w:proofErr w:type="spellEnd"/>
      <w:r>
        <w:rPr>
          <w:b/>
          <w:bCs/>
        </w:rPr>
        <w:t xml:space="preserve"> </w:t>
      </w:r>
      <w:r>
        <w:t xml:space="preserve">estarán presentes, combinando la banca privada y pública, nacional e internacional. Al bancario, se suma el sector de seguros agrícolas, con firmas como </w:t>
      </w:r>
      <w:proofErr w:type="spellStart"/>
      <w:r>
        <w:rPr>
          <w:b/>
          <w:bCs/>
        </w:rPr>
        <w:t>Zurich</w:t>
      </w:r>
      <w:proofErr w:type="spellEnd"/>
      <w:r>
        <w:t xml:space="preserve">, que ya confirmó su presencia en el evento. </w:t>
      </w:r>
    </w:p>
    <w:p w14:paraId="5862603A" w14:textId="77777777" w:rsidR="000B6808" w:rsidRDefault="000B6808" w:rsidP="000B6808">
      <w:pPr>
        <w:spacing w:before="240" w:after="240"/>
      </w:pPr>
      <w:r>
        <w:t xml:space="preserve">La fuerza que vienen tomando estos segmentos de empresas es una señal de que, además de un espacio técnico de referencia, </w:t>
      </w:r>
      <w:r>
        <w:rPr>
          <w:b/>
          <w:bCs/>
        </w:rPr>
        <w:t xml:space="preserve">el </w:t>
      </w:r>
      <w:hyperlink r:id="rId13">
        <w:r>
          <w:rPr>
            <w:b/>
            <w:bCs/>
            <w:color w:val="1155CC"/>
            <w:u w:val="single"/>
          </w:rPr>
          <w:t xml:space="preserve">Congreso </w:t>
        </w:r>
        <w:proofErr w:type="spellStart"/>
        <w:r>
          <w:rPr>
            <w:b/>
            <w:bCs/>
            <w:color w:val="1155CC"/>
            <w:u w:val="single"/>
          </w:rPr>
          <w:t>Aapresid</w:t>
        </w:r>
        <w:proofErr w:type="spellEnd"/>
      </w:hyperlink>
      <w:r>
        <w:rPr>
          <w:b/>
          <w:bCs/>
        </w:rPr>
        <w:t xml:space="preserve"> es también donde se decide la inversión y la gestión empresarial. </w:t>
      </w:r>
      <w:r>
        <w:t xml:space="preserve">Esa lectura se refuerza con la incorporación, en esta edición, de un </w:t>
      </w:r>
      <w:r>
        <w:rPr>
          <w:b/>
          <w:bCs/>
        </w:rPr>
        <w:t>eje específico de gestión empresarial</w:t>
      </w:r>
      <w:r>
        <w:t xml:space="preserve">, con paneles para debatir sobre los desafíos actuales de las empresas agropecuarias en materia de liderazgo interno, rentabilidad e inversiones. </w:t>
      </w:r>
    </w:p>
    <w:p w14:paraId="5112660A" w14:textId="77777777" w:rsidR="000B6808" w:rsidRDefault="000B6808" w:rsidP="000B6808">
      <w:pPr>
        <w:spacing w:before="240" w:after="240"/>
      </w:pPr>
      <w:r>
        <w:t xml:space="preserve">“La capacidad de ocupación del Hall Comercial está casi completa, y estamos muy contentos porque cada año el espacio refleja un “mapa” más completo del conjunto de actores de la cadena agroalimentaria, y una oportunidad de </w:t>
      </w:r>
      <w:proofErr w:type="spellStart"/>
      <w:r>
        <w:t>networking</w:t>
      </w:r>
      <w:proofErr w:type="spellEnd"/>
      <w:r>
        <w:t xml:space="preserve"> único. </w:t>
      </w:r>
    </w:p>
    <w:p w14:paraId="49E166B9" w14:textId="77777777" w:rsidR="000B6808" w:rsidRDefault="000B6808" w:rsidP="000B6808">
      <w:pPr>
        <w:spacing w:before="240" w:after="240"/>
      </w:pPr>
      <w:r>
        <w:rPr>
          <w:b/>
          <w:bCs/>
        </w:rPr>
        <w:t xml:space="preserve">El </w:t>
      </w:r>
      <w:hyperlink r:id="rId14">
        <w:r>
          <w:rPr>
            <w:b/>
            <w:bCs/>
            <w:color w:val="1155CC"/>
            <w:u w:val="single"/>
          </w:rPr>
          <w:t xml:space="preserve">Congreso </w:t>
        </w:r>
      </w:hyperlink>
      <w:r>
        <w:rPr>
          <w:b/>
          <w:bCs/>
        </w:rPr>
        <w:t xml:space="preserve">se convierte ecosistema ideal para la toma de decisiones, ya que las soluciones y servicios de las empresas conectan con los conocimientos y estrategias </w:t>
      </w:r>
      <w:r>
        <w:rPr>
          <w:b/>
          <w:bCs/>
        </w:rPr>
        <w:lastRenderedPageBreak/>
        <w:t>que se debaten dentro de las salas</w:t>
      </w:r>
      <w:r>
        <w:t xml:space="preserve">” explican Rodrigo Rosso y Carolina </w:t>
      </w:r>
      <w:proofErr w:type="spellStart"/>
      <w:r>
        <w:t>Meiller</w:t>
      </w:r>
      <w:proofErr w:type="spellEnd"/>
      <w:r>
        <w:t xml:space="preserve">, Gerente y </w:t>
      </w:r>
      <w:proofErr w:type="gramStart"/>
      <w:r>
        <w:t>Directora</w:t>
      </w:r>
      <w:proofErr w:type="gramEnd"/>
      <w:r>
        <w:t xml:space="preserve"> adjunta de Prospectiva, Programa que lidera la organización del evento.</w:t>
      </w:r>
    </w:p>
    <w:p w14:paraId="672E9FEC" w14:textId="77777777" w:rsidR="000B6808" w:rsidRDefault="000B6808" w:rsidP="000B6808">
      <w:pPr>
        <w:spacing w:before="240" w:after="240"/>
      </w:pPr>
    </w:p>
    <w:p w14:paraId="02B9FCFA" w14:textId="77777777" w:rsidR="000B6808" w:rsidRDefault="000B6808" w:rsidP="000B6808"/>
    <w:p w14:paraId="67A764EA" w14:textId="77777777" w:rsidR="00A33D1A" w:rsidRDefault="00A33D1A">
      <w:pPr>
        <w:jc w:val="both"/>
        <w:rPr>
          <w:rFonts w:ascii="Aptos" w:eastAsia="Aptos" w:hAnsi="Aptos" w:cs="Aptos"/>
          <w:sz w:val="24"/>
          <w:szCs w:val="24"/>
        </w:rPr>
      </w:pPr>
    </w:p>
    <w:sectPr w:rsidR="00A33D1A">
      <w:headerReference w:type="default" r:id="rId15"/>
      <w:footerReference w:type="default" r:id="rId16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47C04" w14:textId="77777777" w:rsidR="00C672A1" w:rsidRDefault="00C672A1">
      <w:pPr>
        <w:spacing w:line="240" w:lineRule="auto"/>
      </w:pPr>
      <w:r>
        <w:separator/>
      </w:r>
    </w:p>
  </w:endnote>
  <w:endnote w:type="continuationSeparator" w:id="0">
    <w:p w14:paraId="11818805" w14:textId="77777777" w:rsidR="00C672A1" w:rsidRDefault="00C672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68289A-ED16-411E-89C3-67353E0F30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B53D802-E4F7-4220-A372-9EA8166BCF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5FE64" w14:textId="77777777" w:rsidR="00A33D1A" w:rsidRDefault="00A33D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419B8" w14:textId="77777777" w:rsidR="00C672A1" w:rsidRDefault="00C672A1">
      <w:pPr>
        <w:spacing w:line="240" w:lineRule="auto"/>
      </w:pPr>
      <w:r>
        <w:separator/>
      </w:r>
    </w:p>
  </w:footnote>
  <w:footnote w:type="continuationSeparator" w:id="0">
    <w:p w14:paraId="35CAE83F" w14:textId="77777777" w:rsidR="00C672A1" w:rsidRDefault="00C672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D46E8" w14:textId="77777777" w:rsidR="00A33D1A" w:rsidRDefault="003F105A">
    <w:r>
      <w:rPr>
        <w:noProof/>
      </w:rPr>
      <w:drawing>
        <wp:anchor distT="0" distB="0" distL="0" distR="0" simplePos="0" relativeHeight="251658240" behindDoc="1" locked="0" layoutInCell="1" hidden="0" allowOverlap="1" wp14:anchorId="2E6A0106" wp14:editId="33B62124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D1A"/>
    <w:rsid w:val="000B6808"/>
    <w:rsid w:val="000F0B91"/>
    <w:rsid w:val="00174C78"/>
    <w:rsid w:val="003F105A"/>
    <w:rsid w:val="0096327F"/>
    <w:rsid w:val="00A33D1A"/>
    <w:rsid w:val="00AF3E9D"/>
    <w:rsid w:val="00C6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9C6C9"/>
  <w15:docId w15:val="{53E69F64-4DE2-4070-A796-167B88F1A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n-001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0w80jhnoGKq3fhNf-eq4wp-rcjKMFsyT/view?usp=sharing" TargetMode="External"/><Relationship Id="rId13" Type="http://schemas.openxmlformats.org/officeDocument/2006/relationships/hyperlink" Target="https://congreso.aapresid.org.ar/en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ngreso.aapresid.org.ar/en" TargetMode="External"/><Relationship Id="rId12" Type="http://schemas.openxmlformats.org/officeDocument/2006/relationships/hyperlink" Target="https://drive.google.com/file/d/1Uet4mmE5LPWZ14BtgErW8D-WNwjmTZMN/view?usp=sharin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innova.bcr.com.ar/foro-agtech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congreso.aapresid.org.ar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ZgsyUjnXoHx2MZiAnOucGWfF0DlZrY69/view?usp=sharing" TargetMode="External"/><Relationship Id="rId14" Type="http://schemas.openxmlformats.org/officeDocument/2006/relationships/hyperlink" Target="https://congreso.aapresid.org.ar/en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XIgo4XW6vSjPt6yJv5UJc0WMsQ==">CgMxLjA4AHIhMVFvVDY2VnVzbEtfaDlwaTUtSER6T3lqWElqUlRqbGZG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895</Words>
  <Characters>5105</Characters>
  <Application>Microsoft Office Word</Application>
  <DocSecurity>0</DocSecurity>
  <Lines>42</Lines>
  <Paragraphs>11</Paragraphs>
  <ScaleCrop>false</ScaleCrop>
  <Company/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Brenda Quattrini</dc:creator>
  <cp:lastModifiedBy>Antonella  Schiantarelli</cp:lastModifiedBy>
  <cp:revision>3</cp:revision>
  <dcterms:created xsi:type="dcterms:W3CDTF">2026-06-25T16:48:00Z</dcterms:created>
  <dcterms:modified xsi:type="dcterms:W3CDTF">2026-06-25T16:48:00Z</dcterms:modified>
</cp:coreProperties>
</file>