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F849D" w14:textId="31151538" w:rsidR="005D1581" w:rsidRPr="002E52F8" w:rsidRDefault="005D1581" w:rsidP="005D1581">
      <w:pPr>
        <w:spacing w:after="100" w:afterAutospacing="1" w:line="276" w:lineRule="auto"/>
        <w:jc w:val="center"/>
        <w:outlineLvl w:val="1"/>
        <w:rPr>
          <w:rFonts w:asciiTheme="minorHAnsi" w:eastAsia="Times New Roman" w:hAnsiTheme="minorHAnsi" w:cstheme="minorHAnsi"/>
          <w:color w:val="212529"/>
          <w:sz w:val="32"/>
          <w:szCs w:val="32"/>
          <w:lang w:val="es-ES"/>
        </w:rPr>
      </w:pPr>
      <w:bookmarkStart w:id="0" w:name="_GoBack"/>
      <w:bookmarkEnd w:id="0"/>
      <w:r w:rsidRPr="002E52F8">
        <w:rPr>
          <w:rFonts w:asciiTheme="minorHAnsi" w:eastAsia="Times New Roman" w:hAnsiTheme="minorHAnsi" w:cstheme="minorHAnsi"/>
          <w:color w:val="212529"/>
          <w:sz w:val="32"/>
          <w:szCs w:val="32"/>
          <w:lang w:val="es-ES"/>
        </w:rPr>
        <w:t>El acero, un aliado clave del agro para la sustentabilidad ambiental</w:t>
      </w:r>
    </w:p>
    <w:p w14:paraId="5C7F3FAB" w14:textId="77777777" w:rsidR="005D1581" w:rsidRPr="005D1581" w:rsidRDefault="005D1581" w:rsidP="005D1581">
      <w:pPr>
        <w:spacing w:after="100" w:afterAutospacing="1" w:line="276" w:lineRule="auto"/>
        <w:jc w:val="center"/>
        <w:rPr>
          <w:rFonts w:asciiTheme="minorHAnsi" w:eastAsia="Times New Roman" w:hAnsiTheme="minorHAnsi" w:cstheme="minorHAnsi"/>
          <w:i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i/>
          <w:color w:val="212529"/>
          <w:lang w:val="es-ES"/>
        </w:rPr>
        <w:t xml:space="preserve">La compañía líder en la producción de acero, </w:t>
      </w:r>
      <w:proofErr w:type="spellStart"/>
      <w:r w:rsidRPr="005D1581">
        <w:rPr>
          <w:rFonts w:asciiTheme="minorHAnsi" w:eastAsia="Times New Roman" w:hAnsiTheme="minorHAnsi" w:cstheme="minorHAnsi"/>
          <w:i/>
          <w:color w:val="212529"/>
          <w:lang w:val="es-ES"/>
        </w:rPr>
        <w:t>Ternium</w:t>
      </w:r>
      <w:proofErr w:type="spellEnd"/>
      <w:r w:rsidRPr="005D1581">
        <w:rPr>
          <w:rFonts w:asciiTheme="minorHAnsi" w:eastAsia="Times New Roman" w:hAnsiTheme="minorHAnsi" w:cstheme="minorHAnsi"/>
          <w:i/>
          <w:color w:val="212529"/>
          <w:lang w:val="es-ES"/>
        </w:rPr>
        <w:t xml:space="preserve">, llega a la </w:t>
      </w:r>
      <w:proofErr w:type="spellStart"/>
      <w:r w:rsidRPr="005D1581">
        <w:rPr>
          <w:rFonts w:asciiTheme="minorHAnsi" w:eastAsia="Times New Roman" w:hAnsiTheme="minorHAnsi" w:cstheme="minorHAnsi"/>
          <w:i/>
          <w:color w:val="212529"/>
          <w:lang w:val="es-ES"/>
        </w:rPr>
        <w:t>megamuestra</w:t>
      </w:r>
      <w:proofErr w:type="spellEnd"/>
      <w:r w:rsidRPr="005D1581">
        <w:rPr>
          <w:rFonts w:asciiTheme="minorHAnsi" w:eastAsia="Times New Roman" w:hAnsiTheme="minorHAnsi" w:cstheme="minorHAnsi"/>
          <w:i/>
          <w:color w:val="212529"/>
          <w:lang w:val="es-ES"/>
        </w:rPr>
        <w:t xml:space="preserve"> del campo argentino con una amplia gama de propuestas en actividades y productos. </w:t>
      </w:r>
    </w:p>
    <w:p w14:paraId="18BA6BA6" w14:textId="77777777" w:rsidR="005D1581" w:rsidRPr="005D1581" w:rsidRDefault="005D1581" w:rsidP="005D1581">
      <w:pPr>
        <w:spacing w:after="100" w:afterAutospacing="1" w:line="276" w:lineRule="auto"/>
        <w:jc w:val="both"/>
        <w:rPr>
          <w:rFonts w:asciiTheme="minorHAnsi" w:eastAsia="Times New Roman" w:hAnsiTheme="minorHAnsi" w:cstheme="minorHAnsi"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Del </w:t>
      </w:r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7 al 10 de marzo, en el predio ferial y Autódromo de San Nicolas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, el agro se vestirá de fiesta para recibir a todos los eslabones de la cadena agroindustrial. En su ya clásica ubicación frente a la carpa institucional, </w:t>
      </w:r>
      <w:proofErr w:type="spellStart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Ternium</w:t>
      </w:r>
      <w:proofErr w:type="spellEnd"/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 tendrá su stand con el acero como protagonista.</w:t>
      </w:r>
    </w:p>
    <w:p w14:paraId="42C081B1" w14:textId="77777777" w:rsidR="005D1581" w:rsidRPr="005D1581" w:rsidRDefault="005D1581" w:rsidP="005D1581">
      <w:pPr>
        <w:spacing w:after="100" w:afterAutospacing="1" w:line="276" w:lineRule="auto"/>
        <w:jc w:val="both"/>
        <w:rPr>
          <w:rFonts w:asciiTheme="minorHAnsi" w:eastAsia="Times New Roman" w:hAnsiTheme="minorHAnsi" w:cstheme="minorHAnsi"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A lo largo de </w:t>
      </w:r>
      <w:proofErr w:type="spellStart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Expoagro</w:t>
      </w:r>
      <w:proofErr w:type="spellEnd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 2023 edición YPF Agro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, la compañía líder en la producción de acero en las américas desarrollará una serie de actividades con eje en la sustentabilidad y la innovación en la cadena de valor industrial. </w:t>
      </w:r>
    </w:p>
    <w:p w14:paraId="6E3C3A97" w14:textId="77777777" w:rsidR="005D1581" w:rsidRPr="005D1581" w:rsidRDefault="005D1581" w:rsidP="005D1581">
      <w:pPr>
        <w:spacing w:after="100" w:afterAutospacing="1" w:line="276" w:lineRule="auto"/>
        <w:jc w:val="both"/>
        <w:rPr>
          <w:rFonts w:asciiTheme="minorHAnsi" w:eastAsia="Times New Roman" w:hAnsiTheme="minorHAnsi" w:cstheme="minorHAnsi"/>
          <w:iCs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iCs/>
          <w:color w:val="212529"/>
          <w:lang w:val="es-ES"/>
        </w:rPr>
        <w:t xml:space="preserve">“Vemos con mucha expectativa esta nueva edición de la feria. Encontrarnos con nuestros clientes para intercambiar visiones, proyectos y estrategia cobra especial importancia en contextos como el actual donde tenemos muchos desafíos por delante como la sequía y el nivel de actividad condicionado por la macroeconomía, pero también enormes oportunidades”, señaló </w:t>
      </w:r>
      <w:r w:rsidRPr="005D1581">
        <w:rPr>
          <w:rFonts w:asciiTheme="minorHAnsi" w:eastAsia="Times New Roman" w:hAnsiTheme="minorHAnsi" w:cstheme="minorHAnsi"/>
          <w:b/>
          <w:iCs/>
          <w:color w:val="212529"/>
          <w:lang w:val="es-ES"/>
        </w:rPr>
        <w:t xml:space="preserve">José Del Boca, vicepresidente comercial de </w:t>
      </w:r>
      <w:proofErr w:type="spellStart"/>
      <w:r w:rsidRPr="005D1581">
        <w:rPr>
          <w:rFonts w:asciiTheme="minorHAnsi" w:eastAsia="Times New Roman" w:hAnsiTheme="minorHAnsi" w:cstheme="minorHAnsi"/>
          <w:b/>
          <w:iCs/>
          <w:color w:val="212529"/>
          <w:lang w:val="es-ES"/>
        </w:rPr>
        <w:t>Ternium</w:t>
      </w:r>
      <w:proofErr w:type="spellEnd"/>
      <w:r w:rsidRPr="005D1581">
        <w:rPr>
          <w:rFonts w:asciiTheme="minorHAnsi" w:eastAsia="Times New Roman" w:hAnsiTheme="minorHAnsi" w:cstheme="minorHAnsi"/>
          <w:b/>
          <w:iCs/>
          <w:color w:val="212529"/>
          <w:lang w:val="es-ES"/>
        </w:rPr>
        <w:t xml:space="preserve"> Argentina.</w:t>
      </w:r>
      <w:r w:rsidRPr="005D1581">
        <w:rPr>
          <w:rFonts w:asciiTheme="minorHAnsi" w:eastAsia="Times New Roman" w:hAnsiTheme="minorHAnsi" w:cstheme="minorHAnsi"/>
          <w:iCs/>
          <w:color w:val="212529"/>
          <w:lang w:val="es-ES"/>
        </w:rPr>
        <w:t xml:space="preserve"> </w:t>
      </w:r>
    </w:p>
    <w:p w14:paraId="17A0A426" w14:textId="77777777" w:rsidR="005D1581" w:rsidRPr="005D1581" w:rsidRDefault="005D1581" w:rsidP="005D1581">
      <w:pPr>
        <w:spacing w:after="100" w:afterAutospacing="1" w:line="276" w:lineRule="auto"/>
        <w:jc w:val="both"/>
        <w:rPr>
          <w:rFonts w:asciiTheme="minorHAnsi" w:eastAsia="Times New Roman" w:hAnsiTheme="minorHAnsi" w:cstheme="minorHAnsi"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iCs/>
          <w:color w:val="212529"/>
          <w:lang w:val="es-ES"/>
        </w:rPr>
        <w:t>“</w:t>
      </w:r>
      <w:r w:rsidRPr="005D1581">
        <w:rPr>
          <w:rFonts w:asciiTheme="minorHAnsi" w:eastAsia="Times New Roman" w:hAnsiTheme="minorHAnsi" w:cstheme="minorHAnsi"/>
          <w:b/>
          <w:iCs/>
          <w:color w:val="212529"/>
          <w:lang w:val="es-ES"/>
        </w:rPr>
        <w:t>El agro es uno de los principales vectores de desarrollo que tiene la Argentina por su potencial exportador y la aplicación de tecnología</w:t>
      </w:r>
      <w:r w:rsidRPr="005D1581">
        <w:rPr>
          <w:rFonts w:asciiTheme="minorHAnsi" w:eastAsia="Times New Roman" w:hAnsiTheme="minorHAnsi" w:cstheme="minorHAnsi"/>
          <w:iCs/>
          <w:color w:val="212529"/>
          <w:lang w:val="es-ES"/>
        </w:rPr>
        <w:t>, no solo en los granos sino también en el segmento industrial con la cadena de valor asociada”, añadió.</w:t>
      </w:r>
    </w:p>
    <w:p w14:paraId="08C611DC" w14:textId="77777777" w:rsidR="005D1581" w:rsidRPr="005D1581" w:rsidRDefault="005D1581" w:rsidP="005D1581">
      <w:pPr>
        <w:spacing w:after="100" w:afterAutospacing="1" w:line="276" w:lineRule="auto"/>
        <w:jc w:val="both"/>
        <w:rPr>
          <w:rFonts w:asciiTheme="minorHAnsi" w:eastAsia="Times New Roman" w:hAnsiTheme="minorHAnsi" w:cstheme="minorHAnsi"/>
          <w:iCs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iCs/>
          <w:color w:val="212529"/>
          <w:lang w:val="es-ES"/>
        </w:rPr>
        <w:t xml:space="preserve">En el año 2022 la compañía despachó al sector un +50% comparado con el nivel previo a la Pandemia, y llegó a representar casi el 10% de los despachos totales de acero al Mercado Interno. El destino principal de </w:t>
      </w:r>
      <w:proofErr w:type="spellStart"/>
      <w:r w:rsidRPr="005D1581">
        <w:rPr>
          <w:rFonts w:asciiTheme="minorHAnsi" w:eastAsia="Times New Roman" w:hAnsiTheme="minorHAnsi" w:cstheme="minorHAnsi"/>
          <w:iCs/>
          <w:color w:val="212529"/>
          <w:lang w:val="es-ES"/>
        </w:rPr>
        <w:t>Ternium</w:t>
      </w:r>
      <w:proofErr w:type="spellEnd"/>
      <w:r w:rsidRPr="005D1581">
        <w:rPr>
          <w:rFonts w:asciiTheme="minorHAnsi" w:eastAsia="Times New Roman" w:hAnsiTheme="minorHAnsi" w:cstheme="minorHAnsi"/>
          <w:iCs/>
          <w:color w:val="212529"/>
          <w:lang w:val="es-ES"/>
        </w:rPr>
        <w:t xml:space="preserve"> es la fabricación de maquinaria agrícola, como sembradoras, pulverizadoras, tolvas, y también silos, la construcción de galpones, establecimientos avícolas, paneles solares, camionetas y muchos más. </w:t>
      </w:r>
    </w:p>
    <w:p w14:paraId="31A7E669" w14:textId="77777777" w:rsidR="005D1581" w:rsidRPr="005D1581" w:rsidRDefault="005D1581" w:rsidP="005D1581">
      <w:pPr>
        <w:spacing w:after="100" w:afterAutospacing="1" w:line="276" w:lineRule="auto"/>
        <w:jc w:val="both"/>
        <w:rPr>
          <w:rFonts w:asciiTheme="minorHAnsi" w:eastAsia="Times New Roman" w:hAnsiTheme="minorHAnsi" w:cstheme="minorHAnsi"/>
          <w:iCs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iCs/>
          <w:color w:val="212529"/>
          <w:lang w:val="es-ES"/>
        </w:rPr>
        <w:t xml:space="preserve">“El campo tiene un efecto derrame sobre otras industrias y también en las comunidades donde se encuentra la actividad. Si el campo crece, toda la industria crece”, resumió </w:t>
      </w:r>
      <w:r w:rsidRPr="005D1581">
        <w:rPr>
          <w:rFonts w:asciiTheme="minorHAnsi" w:eastAsia="Times New Roman" w:hAnsiTheme="minorHAnsi" w:cstheme="minorHAnsi"/>
          <w:b/>
          <w:iCs/>
          <w:color w:val="212529"/>
          <w:lang w:val="es-ES"/>
        </w:rPr>
        <w:t>Del Boca</w:t>
      </w:r>
      <w:r w:rsidRPr="005D1581">
        <w:rPr>
          <w:rFonts w:asciiTheme="minorHAnsi" w:eastAsia="Times New Roman" w:hAnsiTheme="minorHAnsi" w:cstheme="minorHAnsi"/>
          <w:iCs/>
          <w:color w:val="212529"/>
          <w:lang w:val="es-ES"/>
        </w:rPr>
        <w:t>.</w:t>
      </w:r>
    </w:p>
    <w:p w14:paraId="113F1A8C" w14:textId="77777777" w:rsidR="005D1581" w:rsidRPr="005D1581" w:rsidRDefault="005D1581" w:rsidP="005D1581">
      <w:pPr>
        <w:spacing w:after="100" w:afterAutospacing="1" w:line="276" w:lineRule="auto"/>
        <w:jc w:val="both"/>
        <w:rPr>
          <w:rFonts w:asciiTheme="minorHAnsi" w:eastAsia="Times New Roman" w:hAnsiTheme="minorHAnsi" w:cstheme="minorHAnsi"/>
          <w:b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El acero, un aliado clave para la sustentabilidad</w:t>
      </w:r>
    </w:p>
    <w:p w14:paraId="3CEA1C84" w14:textId="77777777" w:rsidR="005D1581" w:rsidRPr="005D1581" w:rsidRDefault="005D1581" w:rsidP="005D1581">
      <w:pPr>
        <w:spacing w:after="100" w:afterAutospacing="1" w:line="276" w:lineRule="auto"/>
        <w:jc w:val="both"/>
        <w:rPr>
          <w:rFonts w:asciiTheme="minorHAnsi" w:eastAsia="Times New Roman" w:hAnsiTheme="minorHAnsi" w:cstheme="minorHAnsi"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Este año, </w:t>
      </w:r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uno de los ejes principales de la compañía en la Capital Nacional de los </w:t>
      </w:r>
      <w:proofErr w:type="spellStart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Agronegocios</w:t>
      </w:r>
      <w:proofErr w:type="spellEnd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 será la sustentabilidad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t>. “</w:t>
      </w:r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El acero es un aliado natural para la </w:t>
      </w:r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lastRenderedPageBreak/>
        <w:t>sustentabilidad en el agro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, no solo es 100% reciclable sino también infinitamente reciclable” sostuvo </w:t>
      </w:r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Del Boca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. Además, destacó que </w:t>
      </w:r>
      <w:proofErr w:type="spellStart"/>
      <w:r w:rsidRPr="005D1581">
        <w:rPr>
          <w:rFonts w:asciiTheme="minorHAnsi" w:eastAsia="Times New Roman" w:hAnsiTheme="minorHAnsi" w:cstheme="minorHAnsi"/>
          <w:color w:val="212529"/>
          <w:lang w:val="es-ES"/>
        </w:rPr>
        <w:t>Ternium</w:t>
      </w:r>
      <w:proofErr w:type="spellEnd"/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 está trabajando con el objetivo de incrementar su oferta de productos de acero sofisticados, resistentes y livianos para aplicaciones en una economía de bajo carbono. </w:t>
      </w:r>
    </w:p>
    <w:p w14:paraId="7C54BB82" w14:textId="77777777" w:rsidR="005D1581" w:rsidRPr="005D1581" w:rsidRDefault="005D1581" w:rsidP="005D1581">
      <w:pPr>
        <w:spacing w:after="100" w:afterAutospacing="1" w:line="276" w:lineRule="auto"/>
        <w:jc w:val="both"/>
        <w:rPr>
          <w:rFonts w:asciiTheme="minorHAnsi" w:eastAsia="Times New Roman" w:hAnsiTheme="minorHAnsi" w:cstheme="minorHAnsi"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iCs/>
          <w:color w:val="212529"/>
          <w:lang w:val="es-ES"/>
        </w:rPr>
        <w:t xml:space="preserve">“Los aceros </w:t>
      </w:r>
      <w:proofErr w:type="spellStart"/>
      <w:r w:rsidRPr="005D1581">
        <w:rPr>
          <w:rFonts w:asciiTheme="minorHAnsi" w:eastAsia="Times New Roman" w:hAnsiTheme="minorHAnsi" w:cstheme="minorHAnsi"/>
          <w:iCs/>
          <w:color w:val="212529"/>
          <w:lang w:val="es-ES"/>
        </w:rPr>
        <w:t>microaleados</w:t>
      </w:r>
      <w:proofErr w:type="spellEnd"/>
      <w:r w:rsidRPr="005D1581">
        <w:rPr>
          <w:rFonts w:asciiTheme="minorHAnsi" w:eastAsia="Times New Roman" w:hAnsiTheme="minorHAnsi" w:cstheme="minorHAnsi"/>
          <w:iCs/>
          <w:color w:val="212529"/>
          <w:lang w:val="es-ES"/>
        </w:rPr>
        <w:t xml:space="preserve"> (como el MLC500) permiten fabricar acoplados, carros, tolvas o cosechadoras más livianas, de mayor calidad y con costos más eficientes”, amplió el ejecutivo</w:t>
      </w:r>
      <w:r w:rsidRPr="005D1581">
        <w:rPr>
          <w:rFonts w:asciiTheme="minorHAnsi" w:eastAsia="Times New Roman" w:hAnsiTheme="minorHAnsi" w:cstheme="minorHAnsi"/>
          <w:i/>
          <w:iCs/>
          <w:color w:val="212529"/>
          <w:lang w:val="es-ES"/>
        </w:rPr>
        <w:t>.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t> </w:t>
      </w:r>
    </w:p>
    <w:p w14:paraId="59AA55F9" w14:textId="77777777" w:rsidR="005D1581" w:rsidRPr="005D1581" w:rsidRDefault="005D1581" w:rsidP="005D1581">
      <w:pPr>
        <w:spacing w:after="100" w:afterAutospacing="1" w:line="276" w:lineRule="auto"/>
        <w:jc w:val="both"/>
        <w:rPr>
          <w:rFonts w:asciiTheme="minorHAnsi" w:eastAsia="Times New Roman" w:hAnsiTheme="minorHAnsi" w:cstheme="minorHAnsi"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En cuanto a sus propios procesos productivos, el objetivo a mediano plazo de </w:t>
      </w:r>
      <w:proofErr w:type="spellStart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Ternium</w:t>
      </w:r>
      <w:proofErr w:type="spellEnd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 es reducir la intensidad de emisiones de dióxido de carbono (CO₂) en un 20% para 2030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t>. Junto a este compromiso, la compañía lanzó un plan de inversiones por 460 millones de dólares, principalmente para proyectos en las plantas de México, Brasil y Argentina.</w:t>
      </w:r>
    </w:p>
    <w:p w14:paraId="76B11316" w14:textId="77777777" w:rsidR="005D1581" w:rsidRPr="005D1581" w:rsidRDefault="005D1581" w:rsidP="005D1581">
      <w:pPr>
        <w:spacing w:after="240" w:line="276" w:lineRule="auto"/>
        <w:jc w:val="both"/>
        <w:rPr>
          <w:rFonts w:asciiTheme="minorHAnsi" w:eastAsia="Times New Roman" w:hAnsiTheme="minorHAnsi" w:cstheme="minorHAnsi"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Para alcanzar este objetivo de reducción de emisiones, </w:t>
      </w:r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la empresa se propuso aumentar el uso de energías renovables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t>; incrementar el uso de chatarra y reciclaje del acero; expandir la capacidad de captura de CO2 en los procesos de reducción directa y priorizar las tecnologías de producción de acero de menor emisión específica.</w:t>
      </w:r>
    </w:p>
    <w:p w14:paraId="023626D6" w14:textId="77777777" w:rsidR="005D1581" w:rsidRPr="005D1581" w:rsidRDefault="005D1581" w:rsidP="005D1581">
      <w:pPr>
        <w:spacing w:after="240" w:line="276" w:lineRule="auto"/>
        <w:jc w:val="both"/>
        <w:rPr>
          <w:rFonts w:asciiTheme="minorHAnsi" w:eastAsia="Times New Roman" w:hAnsiTheme="minorHAnsi" w:cstheme="minorHAnsi"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Adicionalmente, y </w:t>
      </w:r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con el objetivo de trabajar en la reducción de la huella de carbono de sus clientes, </w:t>
      </w:r>
      <w:proofErr w:type="spellStart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Ternium</w:t>
      </w:r>
      <w:proofErr w:type="spellEnd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 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puso a disposición de sus clientes en la feria el programa </w:t>
      </w:r>
      <w:proofErr w:type="spellStart"/>
      <w:r w:rsidRPr="005D1581">
        <w:rPr>
          <w:rFonts w:asciiTheme="minorHAnsi" w:eastAsia="Times New Roman" w:hAnsiTheme="minorHAnsi" w:cstheme="minorHAnsi"/>
          <w:color w:val="212529"/>
          <w:lang w:val="es-ES"/>
        </w:rPr>
        <w:t>ProPymes</w:t>
      </w:r>
      <w:proofErr w:type="spellEnd"/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 medio ambiente, </w:t>
      </w:r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una línea de apoyo del programa de desarrollo de la cadena de valor del Grupo </w:t>
      </w:r>
      <w:proofErr w:type="spellStart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Techint</w:t>
      </w:r>
      <w:proofErr w:type="spellEnd"/>
      <w:r w:rsidRPr="005D1581">
        <w:rPr>
          <w:rFonts w:asciiTheme="minorHAnsi" w:eastAsia="Times New Roman" w:hAnsiTheme="minorHAnsi" w:cstheme="minorHAnsi"/>
          <w:color w:val="212529"/>
          <w:lang w:val="es-ES"/>
        </w:rPr>
        <w:t>, que ofrece capacitaciones y consultorías para lograr mejoras en la gestión de los procesos productivos y reducir el impacto ambiental.</w:t>
      </w:r>
    </w:p>
    <w:p w14:paraId="727C8C52" w14:textId="77777777" w:rsidR="005D1581" w:rsidRPr="005D1581" w:rsidRDefault="005D1581" w:rsidP="005D1581">
      <w:pPr>
        <w:spacing w:after="240" w:line="276" w:lineRule="auto"/>
        <w:jc w:val="both"/>
        <w:rPr>
          <w:rFonts w:asciiTheme="minorHAnsi" w:eastAsia="Times New Roman" w:hAnsiTheme="minorHAnsi" w:cstheme="minorHAnsi"/>
          <w:b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Premio </w:t>
      </w:r>
      <w:proofErr w:type="spellStart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Ternium</w:t>
      </w:r>
      <w:proofErr w:type="spellEnd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 </w:t>
      </w:r>
      <w:proofErr w:type="spellStart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Expoagro</w:t>
      </w:r>
      <w:proofErr w:type="spellEnd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 a la innovación agroindustrial, renovado</w:t>
      </w:r>
    </w:p>
    <w:p w14:paraId="2F2028EB" w14:textId="77777777" w:rsidR="005D1581" w:rsidRDefault="005D1581" w:rsidP="005D1581">
      <w:pPr>
        <w:spacing w:line="276" w:lineRule="auto"/>
        <w:jc w:val="both"/>
        <w:rPr>
          <w:rFonts w:asciiTheme="minorHAnsi" w:eastAsia="Times New Roman" w:hAnsiTheme="minorHAnsi" w:cstheme="minorHAnsi"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El miércoles 8 de marzo se realizará el lanzamiento de la 8va edición de los Premios </w:t>
      </w:r>
      <w:proofErr w:type="spellStart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Ternium</w:t>
      </w:r>
      <w:proofErr w:type="spellEnd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 </w:t>
      </w:r>
      <w:proofErr w:type="spellStart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Expoagro</w:t>
      </w:r>
      <w:proofErr w:type="spellEnd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 a la innovación agroindustrial,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 que desde el 2024 pasará a tener una periodicidad anual, además de nuevas categorías que reflejen la evolución de la agroindustria. </w:t>
      </w:r>
    </w:p>
    <w:p w14:paraId="1907E1E1" w14:textId="77777777" w:rsidR="005D1581" w:rsidRPr="005D1581" w:rsidRDefault="005D1581" w:rsidP="005D1581">
      <w:pPr>
        <w:spacing w:line="276" w:lineRule="auto"/>
        <w:jc w:val="both"/>
        <w:rPr>
          <w:rFonts w:asciiTheme="minorHAnsi" w:eastAsia="Times New Roman" w:hAnsiTheme="minorHAnsi" w:cstheme="minorHAnsi"/>
          <w:color w:val="212529"/>
          <w:lang w:val="es-ES"/>
        </w:rPr>
      </w:pPr>
    </w:p>
    <w:p w14:paraId="7FCE84FA" w14:textId="77777777" w:rsidR="005D1581" w:rsidRDefault="005D1581" w:rsidP="005D1581">
      <w:pPr>
        <w:spacing w:line="276" w:lineRule="auto"/>
        <w:jc w:val="both"/>
        <w:rPr>
          <w:rFonts w:asciiTheme="minorHAnsi" w:eastAsia="Times New Roman" w:hAnsiTheme="minorHAnsi" w:cstheme="minorHAnsi"/>
          <w:color w:val="212529"/>
          <w:lang w:val="es-ES"/>
        </w:rPr>
      </w:pPr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El certamen, organizado por </w:t>
      </w:r>
      <w:proofErr w:type="spellStart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Ternium</w:t>
      </w:r>
      <w:proofErr w:type="spellEnd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 y </w:t>
      </w:r>
      <w:proofErr w:type="spellStart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Expoagro</w:t>
      </w:r>
      <w:proofErr w:type="spellEnd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, en colaboración con la Sociedad Alemana de Agricultura (DLG), busca visibilizar el ingenio y la creatividad de los inventores y desarrolladores argentinos del sector de maquinaria agrícola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. Las empresas que obtienen la máxima distinción quedan ante la posibilidad de estar presentes en </w:t>
      </w:r>
      <w:proofErr w:type="spellStart"/>
      <w:r w:rsidRPr="005D1581">
        <w:rPr>
          <w:rFonts w:asciiTheme="minorHAnsi" w:eastAsia="Times New Roman" w:hAnsiTheme="minorHAnsi" w:cstheme="minorHAnsi"/>
          <w:color w:val="212529"/>
          <w:lang w:val="es-ES"/>
        </w:rPr>
        <w:t>Agritechnica</w:t>
      </w:r>
      <w:proofErr w:type="spellEnd"/>
      <w:r w:rsidRPr="005D1581">
        <w:rPr>
          <w:rFonts w:asciiTheme="minorHAnsi" w:eastAsia="Times New Roman" w:hAnsiTheme="minorHAnsi" w:cstheme="minorHAnsi"/>
          <w:color w:val="212529"/>
          <w:lang w:val="es-ES"/>
        </w:rPr>
        <w:t>, la selecta muestra de la Sociedad Alemana de Agricultura.</w:t>
      </w:r>
    </w:p>
    <w:p w14:paraId="6EBE63CF" w14:textId="77777777" w:rsidR="005D1581" w:rsidRPr="005D1581" w:rsidRDefault="005D1581" w:rsidP="005D1581">
      <w:pPr>
        <w:spacing w:line="276" w:lineRule="auto"/>
        <w:jc w:val="both"/>
        <w:rPr>
          <w:rFonts w:asciiTheme="minorHAnsi" w:eastAsia="Times New Roman" w:hAnsiTheme="minorHAnsi" w:cstheme="minorHAnsi"/>
          <w:color w:val="212529"/>
          <w:lang w:val="es-ES"/>
        </w:rPr>
      </w:pPr>
    </w:p>
    <w:p w14:paraId="30D06135" w14:textId="77777777" w:rsidR="005D1581" w:rsidRPr="005D1581" w:rsidRDefault="005D1581" w:rsidP="005D1581">
      <w:pPr>
        <w:spacing w:line="276" w:lineRule="auto"/>
        <w:jc w:val="both"/>
        <w:rPr>
          <w:rFonts w:asciiTheme="minorHAnsi" w:eastAsia="Times New Roman" w:hAnsiTheme="minorHAnsi" w:cstheme="minorHAnsi"/>
          <w:color w:val="212529"/>
          <w:lang w:val="es-ES"/>
        </w:rPr>
      </w:pPr>
      <w:proofErr w:type="spellStart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Expoagro</w:t>
      </w:r>
      <w:proofErr w:type="spellEnd"/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 xml:space="preserve"> es Única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 porque convoca a todos los referentes del sector agropecuario y los invita a ser parte, no sólo de la </w:t>
      </w:r>
      <w:proofErr w:type="spellStart"/>
      <w:r w:rsidRPr="005D1581">
        <w:rPr>
          <w:rFonts w:asciiTheme="minorHAnsi" w:eastAsia="Times New Roman" w:hAnsiTheme="minorHAnsi" w:cstheme="minorHAnsi"/>
          <w:color w:val="212529"/>
          <w:lang w:val="es-ES"/>
        </w:rPr>
        <w:t>megamuetra</w:t>
      </w:r>
      <w:proofErr w:type="spellEnd"/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, sino también de los eventos que se 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lastRenderedPageBreak/>
        <w:t xml:space="preserve">desarrollan a nivel mundial. </w:t>
      </w:r>
      <w:r w:rsidRPr="005D1581">
        <w:rPr>
          <w:rFonts w:asciiTheme="minorHAnsi" w:eastAsia="Times New Roman" w:hAnsiTheme="minorHAnsi" w:cstheme="minorHAnsi"/>
          <w:b/>
          <w:color w:val="212529"/>
          <w:lang w:val="es-ES"/>
        </w:rPr>
        <w:t>Del 7 al 10 de marzo, la agroindustria estará, en San Nicolás.</w:t>
      </w:r>
      <w:r w:rsidRPr="005D1581">
        <w:rPr>
          <w:rFonts w:asciiTheme="minorHAnsi" w:eastAsia="Times New Roman" w:hAnsiTheme="minorHAnsi" w:cstheme="minorHAnsi"/>
          <w:color w:val="212529"/>
          <w:lang w:val="es-ES"/>
        </w:rPr>
        <w:t xml:space="preserve"> </w:t>
      </w:r>
    </w:p>
    <w:p w14:paraId="238B1E7B" w14:textId="0D954C87" w:rsidR="00304E8C" w:rsidRPr="005D1581" w:rsidRDefault="00304E8C" w:rsidP="005D1581"/>
    <w:sectPr w:rsidR="00304E8C" w:rsidRPr="005D1581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C9BA4" w14:textId="77777777" w:rsidR="00924B2B" w:rsidRDefault="00924B2B" w:rsidP="00E728E0">
      <w:r>
        <w:separator/>
      </w:r>
    </w:p>
  </w:endnote>
  <w:endnote w:type="continuationSeparator" w:id="0">
    <w:p w14:paraId="1CE71D3C" w14:textId="77777777" w:rsidR="00924B2B" w:rsidRDefault="00924B2B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4C654" w14:textId="77777777" w:rsidR="00924B2B" w:rsidRDefault="00924B2B" w:rsidP="00E728E0">
      <w:r>
        <w:separator/>
      </w:r>
    </w:p>
  </w:footnote>
  <w:footnote w:type="continuationSeparator" w:id="0">
    <w:p w14:paraId="01C775B2" w14:textId="77777777" w:rsidR="00924B2B" w:rsidRDefault="00924B2B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1777"/>
    <w:rsid w:val="00117812"/>
    <w:rsid w:val="001D164F"/>
    <w:rsid w:val="002C66C2"/>
    <w:rsid w:val="002E52F8"/>
    <w:rsid w:val="00304E8C"/>
    <w:rsid w:val="003066A3"/>
    <w:rsid w:val="003469FF"/>
    <w:rsid w:val="00437F88"/>
    <w:rsid w:val="00497AEC"/>
    <w:rsid w:val="004C738E"/>
    <w:rsid w:val="005D1581"/>
    <w:rsid w:val="0062698B"/>
    <w:rsid w:val="00641EC9"/>
    <w:rsid w:val="00686CE0"/>
    <w:rsid w:val="00697E80"/>
    <w:rsid w:val="006B2CCA"/>
    <w:rsid w:val="00794D9F"/>
    <w:rsid w:val="007C1C3B"/>
    <w:rsid w:val="007F5EAC"/>
    <w:rsid w:val="0085148C"/>
    <w:rsid w:val="00853D28"/>
    <w:rsid w:val="00896855"/>
    <w:rsid w:val="008D7D65"/>
    <w:rsid w:val="00924B2B"/>
    <w:rsid w:val="00963E1E"/>
    <w:rsid w:val="00A65E2E"/>
    <w:rsid w:val="00A841A1"/>
    <w:rsid w:val="00B60466"/>
    <w:rsid w:val="00C05956"/>
    <w:rsid w:val="00D87334"/>
    <w:rsid w:val="00E42127"/>
    <w:rsid w:val="00E4375F"/>
    <w:rsid w:val="00E54062"/>
    <w:rsid w:val="00E728E0"/>
    <w:rsid w:val="00E7315D"/>
    <w:rsid w:val="00ED36B6"/>
    <w:rsid w:val="00EE74EB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7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2023-01-13T20:00:00Z</dcterms:created>
  <dcterms:modified xsi:type="dcterms:W3CDTF">2023-01-13T22:16:00Z</dcterms:modified>
</cp:coreProperties>
</file>