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99" w:rsidRPr="00464499" w:rsidRDefault="00464499" w:rsidP="004644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Segoe UI"/>
          <w:b/>
          <w:sz w:val="28"/>
          <w:szCs w:val="28"/>
        </w:rPr>
      </w:pPr>
      <w:r w:rsidRPr="00464499">
        <w:rPr>
          <w:rStyle w:val="normaltextrun"/>
          <w:rFonts w:ascii="Calibri" w:hAnsi="Calibri" w:cs="Segoe UI"/>
          <w:b/>
          <w:sz w:val="28"/>
          <w:szCs w:val="28"/>
        </w:rPr>
        <w:t>El futuro del Agro: soluciones satelitales de IoT</w:t>
      </w:r>
    </w:p>
    <w:p w:rsidR="00464499" w:rsidRPr="00464499" w:rsidRDefault="00464499" w:rsidP="004644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Segoe UI"/>
          <w:i/>
          <w:sz w:val="22"/>
          <w:szCs w:val="22"/>
        </w:rPr>
      </w:pPr>
      <w:r w:rsidRPr="00464499">
        <w:rPr>
          <w:rStyle w:val="normaltextrun"/>
          <w:rFonts w:ascii="Calibri" w:hAnsi="Calibri" w:cs="Segoe UI"/>
          <w:i/>
          <w:sz w:val="22"/>
          <w:szCs w:val="22"/>
        </w:rPr>
        <w:t>Tesacom e Inmarsat presenta</w:t>
      </w:r>
      <w:r>
        <w:rPr>
          <w:rStyle w:val="normaltextrun"/>
          <w:rFonts w:ascii="Calibri" w:hAnsi="Calibri" w:cs="Segoe UI"/>
          <w:i/>
          <w:sz w:val="22"/>
          <w:szCs w:val="22"/>
        </w:rPr>
        <w:t>rá</w:t>
      </w:r>
      <w:r w:rsidRPr="00464499">
        <w:rPr>
          <w:rStyle w:val="normaltextrun"/>
          <w:rFonts w:ascii="Calibri" w:hAnsi="Calibri" w:cs="Segoe UI"/>
          <w:i/>
          <w:sz w:val="22"/>
          <w:szCs w:val="22"/>
        </w:rPr>
        <w:t>n juntos las últimas novedades en tecnología satelital de Interne</w:t>
      </w:r>
      <w:r>
        <w:rPr>
          <w:rStyle w:val="normaltextrun"/>
          <w:rFonts w:ascii="Calibri" w:hAnsi="Calibri" w:cs="Segoe UI"/>
          <w:i/>
          <w:sz w:val="22"/>
          <w:szCs w:val="22"/>
        </w:rPr>
        <w:t>t de las Cosas para el mercado agroindustrial en Expoagro 2019</w:t>
      </w:r>
      <w:r w:rsidRPr="00464499">
        <w:rPr>
          <w:rStyle w:val="normaltextrun"/>
          <w:rFonts w:ascii="Calibri" w:hAnsi="Calibri" w:cs="Segoe UI"/>
          <w:i/>
          <w:sz w:val="22"/>
          <w:szCs w:val="22"/>
        </w:rPr>
        <w:t>.</w:t>
      </w:r>
    </w:p>
    <w:p w:rsidR="00464499" w:rsidRDefault="00464499" w:rsidP="0046449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464499" w:rsidRPr="005E1115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E1115">
        <w:rPr>
          <w:rStyle w:val="normaltextrun"/>
          <w:rFonts w:ascii="Calibri" w:hAnsi="Calibri" w:cs="Segoe UI"/>
          <w:sz w:val="22"/>
          <w:szCs w:val="22"/>
        </w:rPr>
        <w:t>Las empresas </w:t>
      </w:r>
      <w:r w:rsidRPr="00A73B77">
        <w:rPr>
          <w:rStyle w:val="spellingerror"/>
          <w:rFonts w:ascii="Calibri" w:hAnsi="Calibri" w:cs="Segoe UI"/>
          <w:sz w:val="22"/>
          <w:szCs w:val="22"/>
        </w:rPr>
        <w:t>Tesacom</w:t>
      </w:r>
      <w:r w:rsidRPr="005E1115">
        <w:rPr>
          <w:rStyle w:val="normaltextrun"/>
          <w:rFonts w:ascii="Calibri" w:hAnsi="Calibri" w:cs="Segoe UI"/>
          <w:sz w:val="22"/>
          <w:szCs w:val="22"/>
        </w:rPr>
        <w:t>, 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líder 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en comunicaciones satelitales móviles y pionera en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IoT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 (Internet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of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Things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) en 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Argentina y en 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la región, e </w:t>
      </w:r>
      <w:r w:rsidRPr="00A73B77">
        <w:rPr>
          <w:rStyle w:val="spellingerror"/>
          <w:rFonts w:ascii="Calibri" w:hAnsi="Calibri" w:cs="Segoe UI"/>
          <w:sz w:val="22"/>
          <w:szCs w:val="22"/>
          <w:lang w:val="es-AR"/>
        </w:rPr>
        <w:t>Inmarsat</w:t>
      </w:r>
      <w:r w:rsidRPr="00A73B77">
        <w:rPr>
          <w:rStyle w:val="normaltextrun"/>
          <w:rFonts w:ascii="Calibri" w:hAnsi="Calibri" w:cs="Segoe UI"/>
          <w:sz w:val="22"/>
          <w:szCs w:val="22"/>
          <w:lang w:val="es-AR"/>
        </w:rPr>
        <w:t>,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 líder mundial en comunicaciones sateli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tales móviles, participarán de la 13º edición de </w:t>
      </w:r>
      <w:r>
        <w:rPr>
          <w:rStyle w:val="spellingerror"/>
          <w:rFonts w:ascii="Calibri" w:hAnsi="Calibri" w:cs="Segoe UI"/>
          <w:sz w:val="22"/>
          <w:szCs w:val="22"/>
          <w:lang w:val="es-AR"/>
        </w:rPr>
        <w:t>Expoa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gro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> 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como referentes de soluciones de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IoT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 satelital. </w:t>
      </w: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5E1115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La agroindustria es un mercado donde la comunicación y la correcta gestión de la información es un insumo fundamental para maximizar la producción. Es en este punto donde las soluciones diseñadas en conjunto por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Inmarsat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 y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Tesacom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 juegan un papel fundamental. </w:t>
      </w: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5E1115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Para el 2050, se calcula que la producción global del sector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 agricultor tendrá que crecer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 un 70% para enfrentar el desafío de alimentar a una población global de 9,7 mil millones de personas. Por esta razón, es necesario implementar métodos de producción sustentables, </w:t>
      </w:r>
      <w:r>
        <w:rPr>
          <w:rStyle w:val="spellingerror"/>
          <w:rFonts w:ascii="Calibri" w:hAnsi="Calibri" w:cs="Segoe UI"/>
          <w:sz w:val="22"/>
          <w:szCs w:val="22"/>
          <w:lang w:val="es-AR"/>
        </w:rPr>
        <w:t>ponerse al día con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 los cambios de demanda de los consumidores y atender a las regulaciones y estándares internacionales. </w:t>
      </w: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Gracias a la red mundial de satélites de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Inmarsat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 y la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expertise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 de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Tesacom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 en el mercado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 del a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gro, es posible entregar los beneficios de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IoT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 en las ubicaciones más remotas, gestionando su recopilación, transferencia y visualización de datos como un servicio integral. De esta forma, 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>se podrá alcanzar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 la maximización de sus rendimientos, la implementación de trazabilidad y el impulso hacia una sostenibilidad operativa.</w:t>
      </w: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464499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2"/>
          <w:szCs w:val="22"/>
        </w:rPr>
      </w:pPr>
      <w:r w:rsidRPr="00A73B77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Al respecto, Santiago </w:t>
      </w:r>
      <w:proofErr w:type="spellStart"/>
      <w:r w:rsidRPr="00A73B77">
        <w:rPr>
          <w:rStyle w:val="normaltextrun"/>
          <w:rFonts w:ascii="Calibri" w:hAnsi="Calibri" w:cs="Segoe UI"/>
          <w:sz w:val="22"/>
          <w:szCs w:val="22"/>
          <w:lang w:val="es-AR"/>
        </w:rPr>
        <w:t>Nicolet</w:t>
      </w:r>
      <w:proofErr w:type="spellEnd"/>
      <w:r w:rsidRPr="00A73B77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, 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>d</w:t>
      </w:r>
      <w:r w:rsidRPr="00464499">
        <w:rPr>
          <w:rStyle w:val="normaltextrun"/>
          <w:rFonts w:ascii="Calibri" w:hAnsi="Calibri" w:cs="Segoe UI"/>
          <w:sz w:val="22"/>
          <w:szCs w:val="22"/>
          <w:lang w:val="es-AR"/>
        </w:rPr>
        <w:t>irector de Proyectos del Grupo </w:t>
      </w:r>
      <w:r w:rsidRPr="00464499">
        <w:rPr>
          <w:rStyle w:val="spellingerror"/>
          <w:rFonts w:ascii="Calibri" w:hAnsi="Calibri" w:cs="Segoe UI"/>
          <w:sz w:val="22"/>
          <w:szCs w:val="22"/>
          <w:lang w:val="es-AR"/>
        </w:rPr>
        <w:t>Tesacom</w:t>
      </w:r>
      <w:r w:rsidRPr="00464499">
        <w:rPr>
          <w:rStyle w:val="normaltextrun"/>
          <w:rFonts w:ascii="Calibri" w:hAnsi="Calibri" w:cs="Segoe UI"/>
          <w:sz w:val="22"/>
          <w:szCs w:val="22"/>
          <w:lang w:val="es-AR"/>
        </w:rPr>
        <w:t>, sostiene: “La tecnología satelital cumple un papel muy importante a la hora de recibir y transmitir información que sea relevante para la toma de decisiones o para controlar tareas a distancia”. Y agrega: “Contribuyen a una labor más eficiente y productiva en el tiempo, aumentando la competitividad y calidad de los productos, y vienen a mitigar en buena medida las amenazas que impone el cambio climático a la actividad de la agroindustria”.</w:t>
      </w:r>
      <w:r w:rsidRPr="00464499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Default="00A73B77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De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>l 12 al 15 de marzo en el predio ferial estable de San Nicolás (Km 225 RN9)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, 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ambas empresas presentarán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>las siguientes</w:t>
      </w:r>
      <w:r w:rsidR="00464499"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 soluci</w:t>
      </w:r>
      <w:r w:rsidR="00464499">
        <w:rPr>
          <w:rStyle w:val="normaltextrun"/>
          <w:rFonts w:ascii="Calibri" w:hAnsi="Calibri" w:cs="Segoe UI"/>
          <w:sz w:val="22"/>
          <w:szCs w:val="22"/>
          <w:lang w:val="es-AR"/>
        </w:rPr>
        <w:t>ones diseñadas para el mercado a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>groindustria</w:t>
      </w:r>
      <w:r w:rsidR="00464499"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:</w:t>
      </w:r>
      <w:r w:rsidR="00464499"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0E078F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2"/>
          <w:szCs w:val="22"/>
        </w:rPr>
      </w:pPr>
    </w:p>
    <w:p w:rsidR="00A73B77" w:rsidRDefault="00A73B77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</w:pPr>
    </w:p>
    <w:p w:rsidR="00A73B77" w:rsidRDefault="00A73B77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</w:pPr>
    </w:p>
    <w:p w:rsidR="00A73B77" w:rsidRDefault="00A73B77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</w:pPr>
    </w:p>
    <w:p w:rsidR="00464499" w:rsidRPr="005E1115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E1115"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lastRenderedPageBreak/>
        <w:t xml:space="preserve">Sistema de </w:t>
      </w:r>
      <w:r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>m</w:t>
      </w:r>
      <w:r w:rsidRPr="005E1115"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 xml:space="preserve">onitoreo de </w:t>
      </w:r>
      <w:r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>r</w:t>
      </w:r>
      <w:r w:rsidRPr="005E1115"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>iego</w:t>
      </w:r>
      <w:r w:rsidR="000C2742">
        <w:rPr>
          <w:rFonts w:ascii="Segoe UI" w:hAnsi="Segoe UI" w:cs="Segoe UI"/>
          <w:sz w:val="22"/>
          <w:szCs w:val="22"/>
        </w:rPr>
        <w:t xml:space="preserve">: 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Con el objetivo de optimizar el sistema de riego con supervisión a distancia, se utiliza la tecnología satelital para controlar los registros de actividad de forma frecuente, automática y económica.</w:t>
      </w: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0C2742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5E1115"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 xml:space="preserve">Control del </w:t>
      </w:r>
      <w:r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>p</w:t>
      </w:r>
      <w:r w:rsidRPr="005E1115"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 xml:space="preserve">roceso de </w:t>
      </w:r>
      <w:r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>c</w:t>
      </w:r>
      <w:r w:rsidRPr="005E1115"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>osecha</w:t>
      </w:r>
      <w:r w:rsidR="000C2742">
        <w:rPr>
          <w:rFonts w:ascii="Segoe UI" w:hAnsi="Segoe UI" w:cs="Segoe UI"/>
          <w:sz w:val="22"/>
          <w:szCs w:val="22"/>
        </w:rPr>
        <w:t xml:space="preserve">: 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Esta solución proporciona toda la información que necesitan los trabajadores agrícolas para </w:t>
      </w:r>
      <w:r>
        <w:rPr>
          <w:rStyle w:val="normaltextrun"/>
          <w:rFonts w:ascii="Calibri" w:hAnsi="Calibri" w:cs="Segoe UI"/>
          <w:sz w:val="22"/>
          <w:szCs w:val="22"/>
          <w:lang w:val="es-AR"/>
        </w:rPr>
        <w:t>monitorear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 xml:space="preserve"> el progreso de la cosecha y reaccionar a tiempo para optimizar los rendimientos.</w:t>
      </w: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5E1115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E1115"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>Seguimiento de ganadería</w:t>
      </w:r>
      <w:r w:rsidR="000C2742">
        <w:rPr>
          <w:rStyle w:val="eop"/>
          <w:rFonts w:ascii="Calibri" w:hAnsi="Calibri" w:cs="Segoe UI"/>
          <w:sz w:val="22"/>
          <w:szCs w:val="22"/>
        </w:rPr>
        <w:t xml:space="preserve">: 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La optimización de procesos para disminuir tiempos muertos y bajar los costos, y las medidas de seguridad contra el hurto de ganado son temas de alta importancia para el sector. Frente a esto, se diseñaron soluciones de </w:t>
      </w:r>
      <w:r w:rsidRPr="005E1115">
        <w:rPr>
          <w:rStyle w:val="spellingerror"/>
          <w:rFonts w:ascii="Calibri" w:hAnsi="Calibri" w:cs="Segoe UI"/>
          <w:sz w:val="22"/>
          <w:szCs w:val="22"/>
          <w:lang w:val="es-AR"/>
        </w:rPr>
        <w:t>IoT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 para monitoreo, seguimiento y seguridad con identificación de recursos.</w:t>
      </w: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5E1115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E1115"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>Gestión acuícola</w:t>
      </w:r>
      <w:r w:rsidR="000C2742">
        <w:rPr>
          <w:rStyle w:val="eop"/>
          <w:rFonts w:ascii="Calibri" w:hAnsi="Calibri" w:cs="Segoe UI"/>
          <w:sz w:val="22"/>
          <w:szCs w:val="22"/>
        </w:rPr>
        <w:t xml:space="preserve">: 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Esta solución habilita el uso de datos en tiempo real para asegurar una captura de peces óptima. </w:t>
      </w: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5E1115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E1115"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>Monitoreo de incendios</w:t>
      </w:r>
      <w:r w:rsidR="000C2742">
        <w:rPr>
          <w:rStyle w:val="eop"/>
          <w:rFonts w:ascii="Calibri" w:hAnsi="Calibri" w:cs="Segoe UI"/>
          <w:sz w:val="22"/>
          <w:szCs w:val="22"/>
        </w:rPr>
        <w:t xml:space="preserve">: </w:t>
      </w:r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Detección térmica en entornos donde existe un riesgo constante de incendio, con el objetivo de obtener una reacción a tiempo y así reducir las pérdidas económicas mejorando la seguridad.</w:t>
      </w: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0C2742" w:rsidRDefault="00464499" w:rsidP="004644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5E1115">
        <w:rPr>
          <w:rStyle w:val="normaltextrun"/>
          <w:rFonts w:ascii="Calibri" w:hAnsi="Calibri" w:cs="Segoe UI"/>
          <w:b/>
          <w:bCs/>
          <w:sz w:val="22"/>
          <w:szCs w:val="22"/>
          <w:lang w:val="es-AR"/>
        </w:rPr>
        <w:t>Gestión agronómica</w:t>
      </w:r>
      <w:r w:rsidR="000C2742">
        <w:rPr>
          <w:rStyle w:val="eop"/>
          <w:rFonts w:ascii="Calibri" w:hAnsi="Calibri" w:cs="Segoe UI"/>
          <w:sz w:val="22"/>
          <w:szCs w:val="22"/>
        </w:rPr>
        <w:t xml:space="preserve">: </w:t>
      </w:r>
      <w:bookmarkStart w:id="0" w:name="_GoBack"/>
      <w:bookmarkEnd w:id="0"/>
      <w:r w:rsidRPr="005E1115">
        <w:rPr>
          <w:rStyle w:val="normaltextrun"/>
          <w:rFonts w:ascii="Calibri" w:hAnsi="Calibri" w:cs="Segoe UI"/>
          <w:sz w:val="22"/>
          <w:szCs w:val="22"/>
          <w:lang w:val="es-AR"/>
        </w:rPr>
        <w:t>Permite a los equipos de administración de fincas agrícolas acceder instantáneamente a los datos de toda su propiedad, lo que tiene como consecuencia una toma de decisiones más inteligente, mayores ganancias y menos gastos. </w:t>
      </w: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A73B77" w:rsidRDefault="00A73B77" w:rsidP="00A73B77">
      <w:pPr>
        <w:spacing w:line="360" w:lineRule="auto"/>
        <w:ind w:firstLine="0"/>
        <w:jc w:val="both"/>
      </w:pPr>
      <w:r w:rsidRPr="00A73B77">
        <w:t>Por su parte,</w:t>
      </w:r>
      <w:r>
        <w:rPr>
          <w:b/>
        </w:rPr>
        <w:t xml:space="preserve"> </w:t>
      </w:r>
      <w:r w:rsidR="00464499" w:rsidRPr="00A73B77">
        <w:rPr>
          <w:b/>
        </w:rPr>
        <w:t xml:space="preserve">Steven </w:t>
      </w:r>
      <w:proofErr w:type="spellStart"/>
      <w:r w:rsidR="00464499" w:rsidRPr="00A73B77">
        <w:rPr>
          <w:b/>
        </w:rPr>
        <w:t>Tompkins</w:t>
      </w:r>
      <w:proofErr w:type="spellEnd"/>
      <w:r>
        <w:t>, d</w:t>
      </w:r>
      <w:r w:rsidR="00464499" w:rsidRPr="00A73B77">
        <w:t>irector del desarrollo de Sector para la Agricultura de Inmarsat, declaró: “El sector agrícola se enfrenta a importantes desafíos debido a las ubicaciones remotas y extensas que el mercado del Agro necesita cubrir. Inmarsat puede ofrecer una combinación única de tecnologías por satélite que permiten la recopilación remota de datos, su análisis y la automatización de la actividad agrícola".</w:t>
      </w:r>
    </w:p>
    <w:p w:rsidR="00464499" w:rsidRPr="00A73B77" w:rsidRDefault="00464499" w:rsidP="00A73B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73B77">
        <w:rPr>
          <w:rStyle w:val="normaltextrun"/>
          <w:rFonts w:ascii="Calibri" w:hAnsi="Calibri" w:cs="Segoe UI"/>
          <w:sz w:val="22"/>
          <w:szCs w:val="22"/>
          <w:lang w:val="es-AR"/>
        </w:rPr>
        <w:t>El objetivo final es poder proveerles a los clientes la seguridad y el control de todos los procesos productivos, aprovechando al máximo sus insumos y aumentando así su rentabilidad. De esta forma, el proceso se vuelve más inteligente, más ágil y más rápido. </w:t>
      </w:r>
      <w:r w:rsidRPr="00A73B77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Pr="005E1115" w:rsidRDefault="00464499" w:rsidP="004644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E1115">
        <w:rPr>
          <w:rStyle w:val="eop"/>
          <w:rFonts w:ascii="Calibri" w:hAnsi="Calibri" w:cs="Segoe UI"/>
          <w:sz w:val="22"/>
          <w:szCs w:val="22"/>
        </w:rPr>
        <w:t> </w:t>
      </w:r>
    </w:p>
    <w:p w:rsidR="00464499" w:rsidRDefault="00464499" w:rsidP="00464499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Segoe UI"/>
          <w:b/>
          <w:bCs/>
          <w:sz w:val="22"/>
          <w:szCs w:val="22"/>
          <w:lang w:val="es-AR"/>
        </w:rPr>
      </w:pPr>
    </w:p>
    <w:p w:rsidR="004B69F3" w:rsidRPr="0035689C" w:rsidRDefault="00464499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val="es-AR" w:eastAsia="es-AR"/>
        </w:rPr>
        <w:t xml:space="preserve">Mayor información en: </w:t>
      </w:r>
      <w:hyperlink r:id="rId7" w:history="1">
        <w:r w:rsidRPr="00A945BC">
          <w:rPr>
            <w:rStyle w:val="Hipervnculo"/>
            <w:rFonts w:asciiTheme="minorHAnsi" w:eastAsia="Times New Roman" w:hAnsiTheme="minorHAnsi" w:cstheme="minorHAnsi"/>
            <w:szCs w:val="24"/>
            <w:lang w:val="es-AR"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val="es-AR" w:eastAsia="es-AR"/>
        </w:rPr>
        <w:t xml:space="preserve"> </w:t>
      </w:r>
      <w:r w:rsidR="00E91A13"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4B6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36" w:rsidRDefault="00050336" w:rsidP="007E04F5">
      <w:r>
        <w:separator/>
      </w:r>
    </w:p>
  </w:endnote>
  <w:endnote w:type="continuationSeparator" w:id="0">
    <w:p w:rsidR="00050336" w:rsidRDefault="00050336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36" w:rsidRDefault="00050336" w:rsidP="007E04F5">
      <w:r>
        <w:separator/>
      </w:r>
    </w:p>
  </w:footnote>
  <w:footnote w:type="continuationSeparator" w:id="0">
    <w:p w:rsidR="00050336" w:rsidRDefault="00050336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50336"/>
    <w:rsid w:val="000C2742"/>
    <w:rsid w:val="000D748B"/>
    <w:rsid w:val="000F6684"/>
    <w:rsid w:val="00103327"/>
    <w:rsid w:val="001D201F"/>
    <w:rsid w:val="00253237"/>
    <w:rsid w:val="0034072F"/>
    <w:rsid w:val="0035689C"/>
    <w:rsid w:val="003A53A0"/>
    <w:rsid w:val="0044497B"/>
    <w:rsid w:val="00464499"/>
    <w:rsid w:val="00465620"/>
    <w:rsid w:val="004743F2"/>
    <w:rsid w:val="00496306"/>
    <w:rsid w:val="004B69F3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A73B77"/>
    <w:rsid w:val="00AA66EA"/>
    <w:rsid w:val="00AE50ED"/>
    <w:rsid w:val="00AF5A4A"/>
    <w:rsid w:val="00B8380F"/>
    <w:rsid w:val="00C14A32"/>
    <w:rsid w:val="00C1723D"/>
    <w:rsid w:val="00D1466A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paragraph">
    <w:name w:val="paragraph"/>
    <w:basedOn w:val="Normal"/>
    <w:rsid w:val="00464499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64499"/>
  </w:style>
  <w:style w:type="character" w:customStyle="1" w:styleId="spellingerror">
    <w:name w:val="spellingerror"/>
    <w:basedOn w:val="Fuentedeprrafopredeter"/>
    <w:rsid w:val="00464499"/>
  </w:style>
  <w:style w:type="character" w:customStyle="1" w:styleId="eop">
    <w:name w:val="eop"/>
    <w:basedOn w:val="Fuentedeprrafopredeter"/>
    <w:rsid w:val="00464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paragraph">
    <w:name w:val="paragraph"/>
    <w:basedOn w:val="Normal"/>
    <w:rsid w:val="00464499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64499"/>
  </w:style>
  <w:style w:type="character" w:customStyle="1" w:styleId="spellingerror">
    <w:name w:val="spellingerror"/>
    <w:basedOn w:val="Fuentedeprrafopredeter"/>
    <w:rsid w:val="00464499"/>
  </w:style>
  <w:style w:type="character" w:customStyle="1" w:styleId="eop">
    <w:name w:val="eop"/>
    <w:basedOn w:val="Fuentedeprrafopredeter"/>
    <w:rsid w:val="0046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3</cp:revision>
  <dcterms:created xsi:type="dcterms:W3CDTF">2019-02-27T15:21:00Z</dcterms:created>
  <dcterms:modified xsi:type="dcterms:W3CDTF">2019-02-27T15:22:00Z</dcterms:modified>
</cp:coreProperties>
</file>