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E1" w:rsidRPr="00D87DE1" w:rsidRDefault="00D87DE1" w:rsidP="003D5FCB">
      <w:pPr>
        <w:ind w:firstLine="0"/>
        <w:jc w:val="center"/>
      </w:pPr>
    </w:p>
    <w:p w:rsidR="005F314C" w:rsidRPr="004F45C5" w:rsidRDefault="005F314C" w:rsidP="003D5FCB">
      <w:pPr>
        <w:ind w:firstLine="0"/>
        <w:jc w:val="center"/>
        <w:rPr>
          <w:b/>
          <w:i/>
          <w:sz w:val="28"/>
          <w:szCs w:val="28"/>
        </w:rPr>
      </w:pPr>
      <w:bookmarkStart w:id="0" w:name="_GoBack"/>
      <w:r>
        <w:rPr>
          <w:rFonts w:cs="Calibri"/>
          <w:b/>
          <w:sz w:val="28"/>
          <w:szCs w:val="28"/>
          <w:shd w:val="clear" w:color="auto" w:fill="FFFFFF"/>
        </w:rPr>
        <w:t>Un año más</w:t>
      </w:r>
      <w:r w:rsidRPr="004F45C5">
        <w:rPr>
          <w:rFonts w:cs="Calibri"/>
          <w:b/>
          <w:sz w:val="28"/>
          <w:szCs w:val="28"/>
          <w:shd w:val="clear" w:color="auto" w:fill="FFFFFF"/>
        </w:rPr>
        <w:t>, ICBC ofrecerá interesantes propuestas de productos y servicios para el agro</w:t>
      </w:r>
    </w:p>
    <w:p w:rsidR="005F314C" w:rsidRDefault="005F314C" w:rsidP="003D5FCB">
      <w:pPr>
        <w:ind w:firstLine="0"/>
        <w:jc w:val="center"/>
        <w:rPr>
          <w:i/>
        </w:rPr>
      </w:pPr>
    </w:p>
    <w:bookmarkEnd w:id="0"/>
    <w:p w:rsidR="003D5FCB" w:rsidRPr="003D5FCB" w:rsidRDefault="003D5FCB" w:rsidP="003D5FCB">
      <w:pPr>
        <w:ind w:firstLine="0"/>
        <w:jc w:val="center"/>
        <w:rPr>
          <w:i/>
        </w:rPr>
      </w:pPr>
      <w:r w:rsidRPr="003D5FCB">
        <w:rPr>
          <w:i/>
        </w:rPr>
        <w:t>El  único banco de origen chino en Argentina, oficiará nuevamente de sponsor internacional.</w:t>
      </w:r>
    </w:p>
    <w:p w:rsidR="005C48C2" w:rsidRDefault="005C48C2" w:rsidP="00462621">
      <w:pPr>
        <w:ind w:firstLine="0"/>
        <w:jc w:val="both"/>
      </w:pPr>
    </w:p>
    <w:p w:rsidR="00792B47" w:rsidRDefault="00D87DE1" w:rsidP="00462621">
      <w:pPr>
        <w:ind w:firstLine="0"/>
        <w:jc w:val="both"/>
      </w:pPr>
      <w:r>
        <w:t>Un</w:t>
      </w:r>
      <w:r w:rsidR="00462621">
        <w:t xml:space="preserve"> año, en el cual, el apoyo de </w:t>
      </w:r>
      <w:r w:rsidR="007F23D4">
        <w:t>los bancos al camp</w:t>
      </w:r>
      <w:r>
        <w:t>o</w:t>
      </w:r>
      <w:r w:rsidR="00462621">
        <w:t xml:space="preserve"> es clave, </w:t>
      </w:r>
      <w:r w:rsidR="00792B47" w:rsidRPr="00792B47">
        <w:t xml:space="preserve">ICBC Argentina </w:t>
      </w:r>
      <w:r w:rsidR="007F23D4">
        <w:t xml:space="preserve">arribará a la “Capital Nacional de los Agronegocios” </w:t>
      </w:r>
      <w:r w:rsidR="00792B47" w:rsidRPr="00792B47">
        <w:t xml:space="preserve">con toda la gama de productos y servicios que brinda la entidad para el sector agropecuario, </w:t>
      </w:r>
      <w:r w:rsidR="00BC3FE2">
        <w:t xml:space="preserve">el cual </w:t>
      </w:r>
      <w:r w:rsidR="00792B47" w:rsidRPr="00792B47">
        <w:t>representa el 25% de su cartera de negocios en la Argentina.</w:t>
      </w:r>
    </w:p>
    <w:p w:rsidR="00792B47" w:rsidRDefault="00792B47" w:rsidP="00462621">
      <w:pPr>
        <w:ind w:firstLine="0"/>
        <w:jc w:val="both"/>
      </w:pPr>
    </w:p>
    <w:p w:rsidR="007F23D4" w:rsidRDefault="00462621" w:rsidP="007F23D4">
      <w:pPr>
        <w:ind w:firstLine="0"/>
        <w:jc w:val="both"/>
      </w:pPr>
      <w:r w:rsidRPr="00462621">
        <w:t xml:space="preserve">Así como la internacionalización de la agroindustria argentina es uno de los principales </w:t>
      </w:r>
      <w:r w:rsidR="007F23D4">
        <w:t>ejes de trabajo de Expoagro, lo</w:t>
      </w:r>
      <w:r w:rsidRPr="00462621">
        <w:t xml:space="preserve"> es también </w:t>
      </w:r>
      <w:r w:rsidR="007F23D4">
        <w:t>para ICBC Argentina. En este sentido, Agustín Ibarguren, gerente de Agronegocios, asegura: “Es muy importante que ICBC participe de Expoagro ya que a partir de ahí</w:t>
      </w:r>
      <w:r w:rsidR="005C48C2">
        <w:t>,</w:t>
      </w:r>
      <w:r w:rsidR="007F23D4">
        <w:t xml:space="preserve"> la demanda </w:t>
      </w:r>
      <w:r w:rsidR="0057065D">
        <w:t xml:space="preserve">de financiamiento </w:t>
      </w:r>
      <w:r w:rsidR="007F23D4">
        <w:t>comienza a incrementarse con la precampaña y la finalización</w:t>
      </w:r>
      <w:r w:rsidR="005C48C2">
        <w:t xml:space="preserve"> de la cosecha gruesa”, y anticip</w:t>
      </w:r>
      <w:r w:rsidR="007F23D4">
        <w:t>a: “En ésta edición tenemos planeado celebrar atractivos convenios de financiamiento con fabricantes de maquinarias e insumos para ofrecerle muy buenas oportunidades comerciales a los productores”.</w:t>
      </w:r>
    </w:p>
    <w:p w:rsidR="00462621" w:rsidRDefault="00462621" w:rsidP="00462621">
      <w:pPr>
        <w:ind w:firstLine="0"/>
        <w:jc w:val="both"/>
      </w:pPr>
    </w:p>
    <w:p w:rsidR="00D87DE1" w:rsidRDefault="00D87DE1" w:rsidP="00462621">
      <w:pPr>
        <w:ind w:firstLine="0"/>
        <w:jc w:val="both"/>
      </w:pPr>
      <w:r>
        <w:t xml:space="preserve">Del 12 al 15 de marzo en el predio estable de San Nicolás (Km 225 RN9), la entidad bancaria contará </w:t>
      </w:r>
      <w:r w:rsidR="00462621" w:rsidRPr="000E7575">
        <w:t xml:space="preserve">con todo el equipo de </w:t>
      </w:r>
      <w:r w:rsidR="003D5FCB">
        <w:t>agro</w:t>
      </w:r>
      <w:r w:rsidR="00462621">
        <w:t>negocios ofreciendo su</w:t>
      </w:r>
      <w:r w:rsidR="00462621" w:rsidRPr="000E7575">
        <w:t>s pro</w:t>
      </w:r>
      <w:r w:rsidR="00462621">
        <w:t>ductos y servicios durante los cuatro</w:t>
      </w:r>
      <w:r w:rsidR="00462621" w:rsidRPr="000E7575">
        <w:t xml:space="preserve"> días de la muestra. </w:t>
      </w:r>
    </w:p>
    <w:p w:rsidR="005C48C2" w:rsidRDefault="005C48C2" w:rsidP="00462621">
      <w:pPr>
        <w:ind w:firstLine="0"/>
        <w:jc w:val="both"/>
      </w:pPr>
    </w:p>
    <w:p w:rsidR="00D87DE1" w:rsidRDefault="00D87DE1" w:rsidP="00462621">
      <w:pPr>
        <w:ind w:firstLine="0"/>
        <w:jc w:val="both"/>
      </w:pPr>
      <w:r>
        <w:t xml:space="preserve">En su stand, ubicado en el lote n° 670 Av. este, entre calle 9 y 9B, </w:t>
      </w:r>
      <w:r w:rsidRPr="00D87DE1">
        <w:t>el equipo de agronegocios ofrecerá las opciones de financiamiento como son</w:t>
      </w:r>
      <w:r>
        <w:t>: L</w:t>
      </w:r>
      <w:r w:rsidR="00462621">
        <w:t xml:space="preserve">íneas de crédito en pesos y en dólares a corto, mediano y largo plazo. </w:t>
      </w:r>
      <w:r>
        <w:t>Al respecto, detallaron: “</w:t>
      </w:r>
      <w:r w:rsidR="00462621">
        <w:t>En pesos, contamos con líneas de corto plazo para financiar capital de trabajo y la tarjeta Visa ICBC Campo con más de 40 convenios a tasa 0% hasta 270 días, mientras que en dólares también contamos con líneas de Corto Plazo hasta 360 días para financiar Capital de Trabajo y varios convenios con tasas diferenciales con empresas proveedoras del sector”. Además disponen de líneas de leasing en pesos hasta 5 años y operan con líneas de warrant.</w:t>
      </w:r>
    </w:p>
    <w:p w:rsidR="00462621" w:rsidRDefault="00792B47" w:rsidP="00462621">
      <w:pPr>
        <w:ind w:firstLine="0"/>
        <w:jc w:val="both"/>
      </w:pPr>
      <w:r>
        <w:t xml:space="preserve">Asimismo, </w:t>
      </w:r>
      <w:r w:rsidRPr="00792B47">
        <w:t>los días miércoles 13 y jueves 14 a las 16.3</w:t>
      </w:r>
      <w:r w:rsidR="00D87DE1">
        <w:t xml:space="preserve">0 hs se celebrarán en el </w:t>
      </w:r>
      <w:proofErr w:type="spellStart"/>
      <w:r w:rsidR="00D87DE1">
        <w:t>Truck</w:t>
      </w:r>
      <w:proofErr w:type="spellEnd"/>
      <w:r w:rsidR="00D87DE1">
        <w:t xml:space="preserve">, </w:t>
      </w:r>
      <w:r w:rsidRPr="00792B47">
        <w:t>el tradicional momento ICBC, donde los visitantes podrán degustar picadas y tragos.</w:t>
      </w:r>
    </w:p>
    <w:p w:rsidR="00462621" w:rsidRPr="000E7575" w:rsidRDefault="00462621" w:rsidP="00462621">
      <w:pPr>
        <w:jc w:val="both"/>
      </w:pPr>
    </w:p>
    <w:p w:rsidR="007F23D4" w:rsidRDefault="00462621" w:rsidP="00462621">
      <w:pPr>
        <w:ind w:firstLine="0"/>
        <w:jc w:val="both"/>
      </w:pPr>
      <w:r>
        <w:t xml:space="preserve">Al realizar un balance de lo que dejó 2018, </w:t>
      </w:r>
      <w:r w:rsidR="00D87DE1">
        <w:t xml:space="preserve">desde la entidad </w:t>
      </w:r>
      <w:r w:rsidR="008F758C">
        <w:t>aseguran</w:t>
      </w:r>
      <w:r w:rsidR="005F314C">
        <w:t xml:space="preserve"> </w:t>
      </w:r>
      <w:r w:rsidR="00D87DE1">
        <w:t>que “</w:t>
      </w:r>
      <w:r>
        <w:t xml:space="preserve">el crecimiento del endeudamiento en dólares </w:t>
      </w:r>
      <w:r w:rsidRPr="000E7575">
        <w:t>fue</w:t>
      </w:r>
      <w:r>
        <w:t xml:space="preserve"> una de las tendencias más destacadas del último año en lo que hace al sector agroindustrial. Los empresarios del campo han elegido los </w:t>
      </w:r>
      <w:r w:rsidRPr="001318B9">
        <w:t>créditos en esta moneda por la menor tasa de interés que presentaron frente a la opción en pesos</w:t>
      </w:r>
      <w:r w:rsidRPr="001318B9">
        <w:rPr>
          <w:color w:val="1F497D"/>
        </w:rPr>
        <w:t>,</w:t>
      </w:r>
      <w:r w:rsidRPr="001318B9">
        <w:t xml:space="preserve"> atada a la inflación</w:t>
      </w:r>
      <w:r w:rsidR="00D87DE1">
        <w:t>”</w:t>
      </w:r>
      <w:r w:rsidRPr="001318B9">
        <w:t>. No obstante, y de cara a este nuevo año,</w:t>
      </w:r>
      <w:r w:rsidR="00D87DE1">
        <w:t xml:space="preserve"> sostienen que</w:t>
      </w:r>
      <w:r w:rsidRPr="001318B9">
        <w:t xml:space="preserve"> la demanda de créditos en pesos</w:t>
      </w:r>
      <w:r w:rsidR="00D87DE1">
        <w:t xml:space="preserve"> también crecerá, y s</w:t>
      </w:r>
      <w:r w:rsidRPr="001318B9">
        <w:t>i la inflación de 2019 se desacelera, va a repercutir en una baja gradual de la tasa en pesos.</w:t>
      </w:r>
    </w:p>
    <w:p w:rsidR="007F23D4" w:rsidRDefault="007F23D4" w:rsidP="00462621">
      <w:pPr>
        <w:ind w:firstLine="0"/>
        <w:jc w:val="both"/>
      </w:pPr>
    </w:p>
    <w:p w:rsidR="007F23D4" w:rsidRDefault="007F23D4" w:rsidP="007F23D4">
      <w:pPr>
        <w:ind w:firstLine="0"/>
        <w:jc w:val="both"/>
      </w:pPr>
      <w:r>
        <w:t>Por último, cabe resaltar que l</w:t>
      </w:r>
      <w:r w:rsidRPr="007F23D4">
        <w:t xml:space="preserve">a entidad continúa afianzando su vínculo con Exponenciar, con la que además organiza misiones comerciales a NAMPO </w:t>
      </w:r>
      <w:proofErr w:type="spellStart"/>
      <w:r w:rsidRPr="007F23D4">
        <w:t>Harvest</w:t>
      </w:r>
      <w:proofErr w:type="spellEnd"/>
      <w:r w:rsidRPr="007F23D4">
        <w:t xml:space="preserve"> Day, la mayor exposición de maquinaria agrícola, insumos y ganadería de Sudáfrica que se desarrollará del 14 al 17 de Mayo en la ciudad de </w:t>
      </w:r>
      <w:proofErr w:type="spellStart"/>
      <w:r w:rsidRPr="007F23D4">
        <w:t>Bothaville</w:t>
      </w:r>
      <w:proofErr w:type="spellEnd"/>
      <w:r w:rsidRPr="007F23D4">
        <w:t>.</w:t>
      </w:r>
    </w:p>
    <w:p w:rsidR="007F23D4" w:rsidRDefault="007F23D4" w:rsidP="007F23D4">
      <w:pPr>
        <w:ind w:firstLine="0"/>
        <w:jc w:val="both"/>
      </w:pPr>
    </w:p>
    <w:p w:rsidR="007F23D4" w:rsidRDefault="007F23D4" w:rsidP="007F23D4">
      <w:pPr>
        <w:ind w:firstLine="0"/>
        <w:jc w:val="both"/>
      </w:pPr>
      <w:r>
        <w:t xml:space="preserve">Mayor información en: </w:t>
      </w:r>
      <w:hyperlink r:id="rId8" w:history="1">
        <w:r w:rsidRPr="00675AE5">
          <w:rPr>
            <w:rStyle w:val="Hipervnculo"/>
          </w:rPr>
          <w:t>www.expoagro.com.ar</w:t>
        </w:r>
      </w:hyperlink>
      <w:r>
        <w:t xml:space="preserve"> </w:t>
      </w:r>
    </w:p>
    <w:p w:rsidR="00462621" w:rsidRDefault="00462621" w:rsidP="00462621">
      <w:pPr>
        <w:ind w:firstLine="0"/>
        <w:jc w:val="both"/>
        <w:rPr>
          <w:color w:val="1F497D"/>
        </w:rPr>
      </w:pPr>
    </w:p>
    <w:sectPr w:rsidR="00462621" w:rsidSect="007E04F5">
      <w:headerReference w:type="default" r:id="rId9"/>
      <w:footerReference w:type="default" r:id="rId10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81" w:rsidRDefault="00C75C81" w:rsidP="007E04F5">
      <w:r>
        <w:separator/>
      </w:r>
    </w:p>
  </w:endnote>
  <w:endnote w:type="continuationSeparator" w:id="0">
    <w:p w:rsidR="00C75C81" w:rsidRDefault="00C75C81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4974D964" wp14:editId="22C4A8EC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81" w:rsidRDefault="00C75C81" w:rsidP="007E04F5">
      <w:r>
        <w:separator/>
      </w:r>
    </w:p>
  </w:footnote>
  <w:footnote w:type="continuationSeparator" w:id="0">
    <w:p w:rsidR="00C75C81" w:rsidRDefault="00C75C81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51ED20" wp14:editId="5D02A4B0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0AD4"/>
    <w:multiLevelType w:val="hybridMultilevel"/>
    <w:tmpl w:val="19AC3D46"/>
    <w:lvl w:ilvl="0" w:tplc="A96AE306">
      <w:start w:val="1"/>
      <w:numFmt w:val="decimal"/>
      <w:lvlText w:val="%1."/>
      <w:lvlJc w:val="left"/>
      <w:pPr>
        <w:ind w:left="1260" w:hanging="90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1F7632"/>
    <w:rsid w:val="00253237"/>
    <w:rsid w:val="0032319C"/>
    <w:rsid w:val="0034072F"/>
    <w:rsid w:val="0035689C"/>
    <w:rsid w:val="003A53A0"/>
    <w:rsid w:val="003B1F50"/>
    <w:rsid w:val="003D5FCB"/>
    <w:rsid w:val="0044497B"/>
    <w:rsid w:val="00462621"/>
    <w:rsid w:val="00465122"/>
    <w:rsid w:val="00465620"/>
    <w:rsid w:val="004743F2"/>
    <w:rsid w:val="00496306"/>
    <w:rsid w:val="004B69F3"/>
    <w:rsid w:val="004E1030"/>
    <w:rsid w:val="004F45C5"/>
    <w:rsid w:val="0057065D"/>
    <w:rsid w:val="005713CE"/>
    <w:rsid w:val="005C48C2"/>
    <w:rsid w:val="005C6D13"/>
    <w:rsid w:val="005F314C"/>
    <w:rsid w:val="00641E9D"/>
    <w:rsid w:val="006927E2"/>
    <w:rsid w:val="00695F85"/>
    <w:rsid w:val="006C7371"/>
    <w:rsid w:val="006E2E94"/>
    <w:rsid w:val="00765B6B"/>
    <w:rsid w:val="00792B47"/>
    <w:rsid w:val="0079717C"/>
    <w:rsid w:val="007A04EE"/>
    <w:rsid w:val="007E04F5"/>
    <w:rsid w:val="007F23D4"/>
    <w:rsid w:val="007F3C7D"/>
    <w:rsid w:val="00850973"/>
    <w:rsid w:val="0086459A"/>
    <w:rsid w:val="008A1D1C"/>
    <w:rsid w:val="008F758C"/>
    <w:rsid w:val="00922337"/>
    <w:rsid w:val="00AA66EA"/>
    <w:rsid w:val="00AE50ED"/>
    <w:rsid w:val="00AF5A4A"/>
    <w:rsid w:val="00B8380F"/>
    <w:rsid w:val="00BC3FE2"/>
    <w:rsid w:val="00C14A32"/>
    <w:rsid w:val="00C1723D"/>
    <w:rsid w:val="00C3704E"/>
    <w:rsid w:val="00C75C81"/>
    <w:rsid w:val="00CB041A"/>
    <w:rsid w:val="00CB74EC"/>
    <w:rsid w:val="00D1466A"/>
    <w:rsid w:val="00D87DE1"/>
    <w:rsid w:val="00E06D97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462621"/>
    <w:pPr>
      <w:ind w:left="720"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4C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F45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462621"/>
    <w:pPr>
      <w:ind w:left="720"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4C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F45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agro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ICBC Argentina S.A.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2019-02-11T16:50:00Z</dcterms:created>
  <dcterms:modified xsi:type="dcterms:W3CDTF">2019-02-11T16:50:00Z</dcterms:modified>
</cp:coreProperties>
</file>