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20" w:rsidRPr="00465620" w:rsidRDefault="00465620" w:rsidP="00465620">
      <w:pPr>
        <w:ind w:firstLine="0"/>
        <w:rPr>
          <w:rFonts w:ascii="Tahoma" w:hAnsi="Tahoma" w:cs="Tahoma"/>
          <w:color w:val="222222"/>
          <w:sz w:val="32"/>
          <w:szCs w:val="20"/>
          <w:shd w:val="clear" w:color="auto" w:fill="FFFFFF"/>
        </w:rPr>
      </w:pPr>
      <w:bookmarkStart w:id="0" w:name="_GoBack"/>
      <w:r w:rsidRPr="00465620">
        <w:rPr>
          <w:rFonts w:ascii="Tahoma" w:hAnsi="Tahoma" w:cs="Tahoma"/>
          <w:color w:val="222222"/>
          <w:sz w:val="32"/>
          <w:szCs w:val="20"/>
          <w:shd w:val="clear" w:color="auto" w:fill="FFFFFF"/>
        </w:rPr>
        <w:t xml:space="preserve">La ganadería se potencia </w:t>
      </w:r>
    </w:p>
    <w:bookmarkEnd w:id="0"/>
    <w:p w:rsidR="00465620" w:rsidRDefault="00465620" w:rsidP="00465620">
      <w:pPr>
        <w:ind w:firstLine="0"/>
        <w:rPr>
          <w:rFonts w:ascii="Tahoma" w:hAnsi="Tahoma" w:cs="Tahoma"/>
          <w:i/>
          <w:color w:val="222222"/>
          <w:sz w:val="20"/>
          <w:szCs w:val="20"/>
          <w:shd w:val="clear" w:color="auto" w:fill="FFFFFF"/>
        </w:rPr>
      </w:pPr>
    </w:p>
    <w:p w:rsidR="00465620" w:rsidRPr="00EA6B81" w:rsidRDefault="00465620" w:rsidP="00465620">
      <w:pPr>
        <w:ind w:firstLine="0"/>
        <w:rPr>
          <w:rFonts w:ascii="Tahoma" w:hAnsi="Tahoma" w:cs="Tahoma"/>
          <w:i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i/>
          <w:color w:val="222222"/>
          <w:sz w:val="20"/>
          <w:szCs w:val="20"/>
          <w:shd w:val="clear" w:color="auto" w:fill="FFFFFF"/>
        </w:rPr>
        <w:t>Participarán</w:t>
      </w:r>
      <w:r w:rsidRPr="00EA6B81">
        <w:rPr>
          <w:rFonts w:ascii="Tahoma" w:hAnsi="Tahoma" w:cs="Tahoma"/>
          <w:i/>
          <w:color w:val="222222"/>
          <w:sz w:val="20"/>
          <w:szCs w:val="20"/>
          <w:shd w:val="clear" w:color="auto" w:fill="FFFFFF"/>
        </w:rPr>
        <w:t xml:space="preserve"> al menos 7 importantes razas que realizarán sus jornadas, remates especiales y demostraciones de reproductores. </w:t>
      </w:r>
    </w:p>
    <w:p w:rsidR="00465620" w:rsidRPr="00EA6B81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465620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465620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La ganadería volverá a tener su lugar de privilegio en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Expoagro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Braford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Brangus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Angus,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Hereford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Limousin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Murray Grey y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Senepol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ya confirmaron su participación y se preparan para tener cada una su jornada de capacitación junto a demostraciones en pista, 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exhibición de reproductores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y remates especiales que se sumarán a las subastas 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televisad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s y en vivo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organizadas por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Expoagro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br/>
      </w:r>
    </w:p>
    <w:p w:rsidR="00465620" w:rsidRDefault="00465620" w:rsidP="00465620">
      <w:pPr>
        <w:ind w:firstLine="0"/>
        <w:rPr>
          <w:rFonts w:ascii="Helvetica" w:hAnsi="Helvetica" w:cs="Helvetica"/>
          <w:color w:val="4B4B4B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La actividad también dará cátedra con sus tecnologías de precisión. En el escenario del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Tecnódromo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se podrán ver las últimas novedades, 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una dinámica de picado de maíz y el suministro de alimentos a través de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un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comedero inteligente.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La empresa </w:t>
      </w:r>
      <w:proofErr w:type="spellStart"/>
      <w:r w:rsidRPr="00BF3F2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Farmquip</w:t>
      </w:r>
      <w:proofErr w:type="spellEnd"/>
      <w:r w:rsidRPr="00BF3F24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será nuevamente la encargada de proveer todo el montaje de los corrales y las pistas del área ganadera. Con estas instalaciones el trabajo se agiliza el 60%.</w:t>
      </w:r>
    </w:p>
    <w:p w:rsidR="00465620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465620" w:rsidRPr="00EA6B81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El buen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clima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que vive la ganadería es reflejado por las asociaciones. En el caso de 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Angus, aument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aron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de 13 a 16 la cantidad de plantas que certifican carne de la raza, lo que representa un alza del 40% interanual. También crecieron en la cantidad de cabañas asociadas y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los 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remates.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El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director ejecutivo, Javier Martínez del Valle, adelant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ó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que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en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Expoagro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van a promocionar 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los programas “Angus Puro Controlado” y "Madre 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AnGus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Seleccionada". Como novedad, tras 5 años de trabajo, presentarán el nuevo Programa de Evaluación Genómica de Reproductores. También realizarán un remate de novillos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ecografiados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</w:t>
      </w:r>
    </w:p>
    <w:p w:rsidR="00465620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465620" w:rsidRPr="00EA6B81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“Este año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los precios se incrementaron un 20% interanual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En el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Brangus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Show de Palermo, 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 toro y una vaca de la cabaña Rancho Grande 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lcanzaron las cifras récord de 2.450.000 y 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1.500.000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de pesos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respectivamente”, señaló Facundo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Rivolta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gerente de la Asociación Argentina de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Brangus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, tras anunciar que el jueves 14 de marzo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realizarán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en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Expoagro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el ciclo “Ahora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Brangus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” con la participación de referentes del sector que abordarán temáticas técnicas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y de mercado 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apuntando a brindarle herramientas a un público que ve con interés ingresar al negocio ganadero. Como cierre, invitarán a los presentes a degustar la exquisita carne que los identifica.   </w:t>
      </w:r>
    </w:p>
    <w:p w:rsidR="00465620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465620" w:rsidRPr="00EA6B81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Por su parte, el gerente de la Asociación Argentina de Criadores de 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Limousin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 (AACL), Roberto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Bianculli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 coincidió en que el 2018 fue muy positivo. “Aumentamos la cantidad de reproductores inspeccionados, que en 2017 ya habían crecido en un 54%. Incrementamos nuestros socios en un 12% y obtuvimos buenos precios.  Los toros alcanzaron un promedio de 75 mil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pesos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En lo que se refiere a los mercados de expor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tación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ya hace dos años que venimos cumpliendo con nuestra cota Hilton tras casi 8 sin poder hacerlo”, detalló.   </w:t>
      </w:r>
    </w:p>
    <w:p w:rsidR="00465620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465620" w:rsidRPr="00EA6B81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Expoagro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Limousin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llevará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cinco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animales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de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la cabaña La Cotidiana,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de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la localidad bonaerense de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Chenaut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 También planean tener una activa participación institucional haciendo foco en la mansedumbre y la eficiencia de conversión, dos características que identifican a la raza. </w:t>
      </w:r>
    </w:p>
    <w:p w:rsidR="00465620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465620" w:rsidRDefault="00465620" w:rsidP="00465620">
      <w:pPr>
        <w:ind w:firstLine="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Por último, la Asociación de </w:t>
      </w:r>
      <w:proofErr w:type="spellStart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Braford</w:t>
      </w:r>
      <w:proofErr w:type="spellEnd"/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Argentina será de la partida en el marco de su 35 aniversario. Su director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Diego Rodríguez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adelant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ó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que planean realizar una serie de disertaciones abarcando áreas de genómica y calidad de carne. Además llevarán animales para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mostrar las virtudes de la raza</w:t>
      </w:r>
      <w:r w:rsidRPr="00EA6B8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que se destaca por su gran adaptabilidad al norte argentino y también se ha extendido a otras zonas del paí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 por medio de sus 380 cabañas.</w:t>
      </w:r>
    </w:p>
    <w:p w:rsidR="004B69F3" w:rsidRDefault="004B69F3" w:rsidP="000F6684">
      <w:pPr>
        <w:ind w:firstLine="0"/>
      </w:pPr>
    </w:p>
    <w:sectPr w:rsidR="004B69F3" w:rsidSect="007E04F5">
      <w:headerReference w:type="default" r:id="rId6"/>
      <w:footerReference w:type="default" r:id="rId7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F5" w:rsidRDefault="007E04F5" w:rsidP="007E04F5">
      <w:r>
        <w:separator/>
      </w:r>
    </w:p>
  </w:endnote>
  <w:endnote w:type="continuationSeparator" w:id="0">
    <w:p w:rsidR="007E04F5" w:rsidRDefault="007E04F5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F5" w:rsidRDefault="007E04F5" w:rsidP="007E04F5">
      <w:r>
        <w:separator/>
      </w:r>
    </w:p>
  </w:footnote>
  <w:footnote w:type="continuationSeparator" w:id="0">
    <w:p w:rsidR="007E04F5" w:rsidRDefault="007E04F5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5"/>
    <w:rsid w:val="000D748B"/>
    <w:rsid w:val="000F6684"/>
    <w:rsid w:val="00103327"/>
    <w:rsid w:val="003A53A0"/>
    <w:rsid w:val="00465620"/>
    <w:rsid w:val="004B69F3"/>
    <w:rsid w:val="00641E9D"/>
    <w:rsid w:val="007A04EE"/>
    <w:rsid w:val="007E04F5"/>
    <w:rsid w:val="00AE50ED"/>
    <w:rsid w:val="00D1466A"/>
    <w:rsid w:val="00F736C8"/>
    <w:rsid w:val="00F9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Claudia Pittaro Saavedra</cp:lastModifiedBy>
  <cp:revision>2</cp:revision>
  <dcterms:created xsi:type="dcterms:W3CDTF">2018-12-18T18:33:00Z</dcterms:created>
  <dcterms:modified xsi:type="dcterms:W3CDTF">2018-12-18T18:33:00Z</dcterms:modified>
</cp:coreProperties>
</file>