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A5A8" w14:textId="77777777" w:rsidR="008025ED" w:rsidRDefault="008025ED" w:rsidP="00D42C11">
      <w:pPr>
        <w:jc w:val="both"/>
      </w:pPr>
    </w:p>
    <w:p w14:paraId="67BAF027" w14:textId="77777777" w:rsidR="00CC7EE9" w:rsidRDefault="00CC7EE9" w:rsidP="00D42C11">
      <w:pPr>
        <w:jc w:val="both"/>
      </w:pPr>
    </w:p>
    <w:p w14:paraId="1F3BB0EF" w14:textId="77777777" w:rsidR="00973374" w:rsidRPr="00195FC3" w:rsidRDefault="00973374" w:rsidP="00D42C11">
      <w:pPr>
        <w:jc w:val="both"/>
        <w:rPr>
          <w:b/>
          <w:bCs/>
        </w:rPr>
      </w:pPr>
      <w:r w:rsidRPr="00195FC3">
        <w:rPr>
          <w:b/>
          <w:bCs/>
        </w:rPr>
        <w:t xml:space="preserve">San Nicolás fue el escenario para el prelanzamiento de los Premios </w:t>
      </w:r>
      <w:proofErr w:type="spellStart"/>
      <w:r w:rsidRPr="00195FC3">
        <w:rPr>
          <w:b/>
          <w:bCs/>
        </w:rPr>
        <w:t>Ternium</w:t>
      </w:r>
      <w:proofErr w:type="spellEnd"/>
      <w:r w:rsidRPr="00195FC3">
        <w:rPr>
          <w:b/>
          <w:bCs/>
        </w:rPr>
        <w:t xml:space="preserve"> Expoagro 2021 </w:t>
      </w:r>
    </w:p>
    <w:p w14:paraId="4FFF80D0" w14:textId="77777777" w:rsidR="00973374" w:rsidRPr="00195FC3" w:rsidRDefault="00973374" w:rsidP="00D42C11">
      <w:pPr>
        <w:jc w:val="both"/>
      </w:pPr>
      <w:r w:rsidRPr="00195FC3">
        <w:t>Se presentó la 7° ed</w:t>
      </w:r>
      <w:bookmarkStart w:id="0" w:name="_GoBack"/>
      <w:bookmarkEnd w:id="0"/>
      <w:r w:rsidRPr="00195FC3">
        <w:t>ición del concurso que convoca a los desarrolladores de innovaciones en tecnología agroindustrial.</w:t>
      </w:r>
    </w:p>
    <w:p w14:paraId="17FD8A0D" w14:textId="77777777" w:rsidR="00973374" w:rsidRPr="00195FC3" w:rsidRDefault="00973374" w:rsidP="00D42C11">
      <w:pPr>
        <w:jc w:val="both"/>
      </w:pPr>
      <w:r w:rsidRPr="00195FC3">
        <w:t xml:space="preserve">Durante la tercera jornada de Expoagro, edición YPF Agro, tuvo lugar el prelanzamiento de los Premios </w:t>
      </w:r>
      <w:proofErr w:type="spellStart"/>
      <w:r w:rsidRPr="00195FC3">
        <w:t>Ternium</w:t>
      </w:r>
      <w:proofErr w:type="spellEnd"/>
      <w:r w:rsidRPr="00195FC3">
        <w:t xml:space="preserve"> Expoagro a la Innovación Agroindustrial que se convocarán por séptima vez en 2021. El certamen ya tuvo 80 premiados en sus primeras seis ediciones y promete convocar a los más novedosos desarrollos y mejoras en materia tecnológica. </w:t>
      </w:r>
    </w:p>
    <w:p w14:paraId="74A5CA12" w14:textId="77777777" w:rsidR="00973374" w:rsidRPr="00195FC3" w:rsidRDefault="00973374" w:rsidP="00D42C11">
      <w:pPr>
        <w:jc w:val="both"/>
      </w:pPr>
      <w:r w:rsidRPr="00195FC3">
        <w:t>En la oportunidad se dieron a conocer las bases iniciales para quienes deseen participar y se presentaron tres casos de ganadores de ediciones anteriores.</w:t>
      </w:r>
    </w:p>
    <w:p w14:paraId="1745FAF8" w14:textId="77777777" w:rsidR="00973374" w:rsidRDefault="00973374" w:rsidP="00D42C11">
      <w:pPr>
        <w:jc w:val="both"/>
      </w:pPr>
      <w:r w:rsidRPr="00195FC3">
        <w:t>“El objetivo es premiar un producto que sea totalmente innovador en Argentina y Alemania o bien una mejora de un producto ya realizado que dé una solución concreta a un problema. Los primeros obtienen medalla de oro y los segundos, de plata”, explicó el Ing. Agr. Hernán Ferrari, uno de los miembros del Jurado.</w:t>
      </w:r>
      <w:r>
        <w:t xml:space="preserve"> </w:t>
      </w:r>
    </w:p>
    <w:p w14:paraId="7C581CFA" w14:textId="719C6B73" w:rsidR="00973374" w:rsidRPr="00973374" w:rsidRDefault="00973374" w:rsidP="00D42C11">
      <w:pPr>
        <w:jc w:val="both"/>
      </w:pPr>
      <w:r w:rsidRPr="00195FC3">
        <w:t>Los objetivos de la competencia son</w:t>
      </w:r>
      <w:r>
        <w:t xml:space="preserve">: </w:t>
      </w:r>
      <w:r>
        <w:rPr>
          <w:rFonts w:eastAsia="+mn-ea" w:cs="+mn-cs"/>
          <w:kern w:val="24"/>
        </w:rPr>
        <w:t>p</w:t>
      </w:r>
      <w:r w:rsidRPr="00973374">
        <w:rPr>
          <w:rFonts w:eastAsia="+mn-ea" w:cs="+mn-cs"/>
          <w:kern w:val="24"/>
        </w:rPr>
        <w:t xml:space="preserve">romover y estimular la innovación tecnológica vinculada a la </w:t>
      </w:r>
      <w:r>
        <w:rPr>
          <w:rFonts w:eastAsia="+mn-ea" w:cs="+mn-cs"/>
          <w:kern w:val="24"/>
        </w:rPr>
        <w:t>a</w:t>
      </w:r>
      <w:r w:rsidRPr="00973374">
        <w:rPr>
          <w:rFonts w:eastAsia="+mn-ea" w:cs="+mn-cs"/>
          <w:kern w:val="24"/>
        </w:rPr>
        <w:t>groindustria, en particular de origen nacional</w:t>
      </w:r>
      <w:r>
        <w:rPr>
          <w:rFonts w:eastAsia="+mn-ea" w:cs="+mn-cs"/>
          <w:kern w:val="24"/>
        </w:rPr>
        <w:t>; p</w:t>
      </w:r>
      <w:r w:rsidRPr="00973374">
        <w:rPr>
          <w:rFonts w:eastAsia="+mn-ea" w:cs="+mn-cs"/>
          <w:kern w:val="24"/>
        </w:rPr>
        <w:t>otenciar la competitividad internacional</w:t>
      </w:r>
      <w:r>
        <w:rPr>
          <w:rFonts w:eastAsia="+mn-ea" w:cs="+mn-cs"/>
          <w:kern w:val="24"/>
        </w:rPr>
        <w:t xml:space="preserve"> </w:t>
      </w:r>
      <w:r w:rsidRPr="00973374">
        <w:rPr>
          <w:rFonts w:eastAsia="+mn-ea" w:cs="+mn-cs"/>
          <w:kern w:val="24"/>
        </w:rPr>
        <w:t>del secto</w:t>
      </w:r>
      <w:r>
        <w:rPr>
          <w:rFonts w:eastAsia="+mn-ea" w:cs="+mn-cs"/>
          <w:kern w:val="24"/>
        </w:rPr>
        <w:t>r; r</w:t>
      </w:r>
      <w:r w:rsidRPr="00195FC3">
        <w:rPr>
          <w:rFonts w:eastAsia="+mn-ea" w:cs="+mn-cs"/>
          <w:kern w:val="24"/>
        </w:rPr>
        <w:t>econocer el esfuerzo que implica generar nuevos desarrollos que brinden</w:t>
      </w:r>
      <w:r>
        <w:rPr>
          <w:rFonts w:eastAsia="+mn-ea" w:cs="+mn-cs"/>
          <w:kern w:val="24"/>
        </w:rPr>
        <w:t xml:space="preserve"> </w:t>
      </w:r>
      <w:r w:rsidRPr="00195FC3">
        <w:rPr>
          <w:rFonts w:eastAsia="+mn-ea" w:cs="+mn-cs"/>
          <w:kern w:val="24"/>
        </w:rPr>
        <w:t xml:space="preserve">soluciones reales al productor agroindustrial. </w:t>
      </w:r>
    </w:p>
    <w:p w14:paraId="5B5C9456" w14:textId="77777777" w:rsidR="00973374" w:rsidRDefault="00973374" w:rsidP="00D42C11">
      <w:pPr>
        <w:jc w:val="both"/>
        <w:rPr>
          <w:rFonts w:eastAsia="+mn-ea" w:cs="+mn-cs"/>
          <w:kern w:val="24"/>
        </w:rPr>
      </w:pPr>
      <w:r>
        <w:rPr>
          <w:rFonts w:eastAsia="+mn-ea" w:cs="+mn-cs"/>
          <w:kern w:val="24"/>
        </w:rPr>
        <w:t xml:space="preserve">“Los ganadores obtienen una plaqueta, una medalla de oro, la posibilidad de salir en publicaciones de medios nacionales y un stand gratuito dentro de Expoagro, en </w:t>
      </w:r>
      <w:proofErr w:type="spellStart"/>
      <w:r>
        <w:rPr>
          <w:rFonts w:eastAsia="+mn-ea" w:cs="+mn-cs"/>
          <w:kern w:val="24"/>
        </w:rPr>
        <w:t>Ternium</w:t>
      </w:r>
      <w:proofErr w:type="spellEnd"/>
      <w:r>
        <w:rPr>
          <w:rFonts w:eastAsia="+mn-ea" w:cs="+mn-cs"/>
          <w:kern w:val="24"/>
        </w:rPr>
        <w:t xml:space="preserve">, donde se presentan todos los desarrollos premiados. Por lo tanto, para presentarse, el producto ya debe existir como prototipo o bien estar en su fase comercial, porque a los seis meses del anuncio de los ganadores, los desarrollos deben exhibirse en Expoagro”, explicó Ferrari. </w:t>
      </w:r>
    </w:p>
    <w:p w14:paraId="09B38847" w14:textId="77777777" w:rsidR="00973374" w:rsidRPr="00195FC3" w:rsidRDefault="00973374" w:rsidP="00D42C11">
      <w:pPr>
        <w:jc w:val="both"/>
      </w:pPr>
      <w:r>
        <w:rPr>
          <w:rFonts w:eastAsia="+mn-ea" w:cs="+mn-cs"/>
          <w:kern w:val="24"/>
        </w:rPr>
        <w:t xml:space="preserve">Además, </w:t>
      </w:r>
      <w:r w:rsidRPr="00195FC3">
        <w:rPr>
          <w:rFonts w:eastAsia="+mn-ea" w:cs="+mn-cs"/>
          <w:kern w:val="24"/>
        </w:rPr>
        <w:t>“</w:t>
      </w:r>
      <w:r>
        <w:rPr>
          <w:rFonts w:eastAsia="+mn-ea" w:cs="+mn-cs"/>
          <w:kern w:val="24"/>
        </w:rPr>
        <w:t>l</w:t>
      </w:r>
      <w:r w:rsidRPr="00195FC3">
        <w:rPr>
          <w:rFonts w:eastAsia="+mn-ea" w:cs="+mn-cs"/>
          <w:kern w:val="24"/>
        </w:rPr>
        <w:t xml:space="preserve">os ganadores obtienen gran visibilidad en Argentina y tienen la posibilidad de ser electos por la Sociedad Alemana de Agricultura para estar presentes en </w:t>
      </w:r>
      <w:proofErr w:type="spellStart"/>
      <w:r w:rsidRPr="00195FC3">
        <w:rPr>
          <w:rFonts w:eastAsia="+mn-ea" w:cs="+mn-cs"/>
          <w:kern w:val="24"/>
        </w:rPr>
        <w:t>Agritechnica</w:t>
      </w:r>
      <w:proofErr w:type="spellEnd"/>
      <w:r w:rsidRPr="00195FC3">
        <w:rPr>
          <w:rFonts w:eastAsia="+mn-ea" w:cs="+mn-cs"/>
          <w:kern w:val="24"/>
        </w:rPr>
        <w:t xml:space="preserve"> 2021”, dijo Diego Abdo, gerente de Comunicación de Expoagro. Entre los premiados históricos se destacaron desarrollos no solo para la agricultura tradicional, sino también aquellos que empoderan las economías regionales como frutales: cítricos, bananas, caña de azúcar, algodón. </w:t>
      </w:r>
    </w:p>
    <w:p w14:paraId="477FC7E3" w14:textId="77777777" w:rsidR="00973374" w:rsidRDefault="00973374" w:rsidP="00D42C11">
      <w:pPr>
        <w:jc w:val="both"/>
        <w:rPr>
          <w:b/>
          <w:bCs/>
        </w:rPr>
      </w:pPr>
      <w:r w:rsidRPr="00195FC3">
        <w:rPr>
          <w:b/>
          <w:bCs/>
        </w:rPr>
        <w:t>Jurado</w:t>
      </w:r>
    </w:p>
    <w:p w14:paraId="4BE5F9CB" w14:textId="77777777" w:rsidR="00973374" w:rsidRDefault="00973374" w:rsidP="00D42C11">
      <w:pPr>
        <w:jc w:val="both"/>
        <w:rPr>
          <w:rFonts w:eastAsia="+mn-ea" w:cs="+mn-cs"/>
          <w:kern w:val="24"/>
        </w:rPr>
      </w:pPr>
      <w:r w:rsidRPr="00195FC3">
        <w:rPr>
          <w:rFonts w:eastAsia="+mn-ea" w:cs="+mn-cs"/>
          <w:kern w:val="24"/>
        </w:rPr>
        <w:t xml:space="preserve">El jurado de los Premios </w:t>
      </w:r>
      <w:proofErr w:type="spellStart"/>
      <w:r w:rsidRPr="00195FC3">
        <w:rPr>
          <w:rFonts w:eastAsia="+mn-ea" w:cs="+mn-cs"/>
          <w:kern w:val="24"/>
        </w:rPr>
        <w:t>Ternium</w:t>
      </w:r>
      <w:proofErr w:type="spellEnd"/>
      <w:r w:rsidRPr="00195FC3">
        <w:rPr>
          <w:rFonts w:eastAsia="+mn-ea" w:cs="+mn-cs"/>
          <w:kern w:val="24"/>
        </w:rPr>
        <w:t xml:space="preserve"> Expoagro está integrado por especialistas de primer nivel y tiene la supervisión de la Sociedad Alemana de Agricultura (DLG), organizadores de </w:t>
      </w:r>
    </w:p>
    <w:p w14:paraId="0F8A06A1" w14:textId="77777777" w:rsidR="00973374" w:rsidRDefault="00973374" w:rsidP="00D42C11">
      <w:pPr>
        <w:jc w:val="both"/>
        <w:rPr>
          <w:rFonts w:eastAsia="+mn-ea" w:cs="+mn-cs"/>
          <w:kern w:val="24"/>
        </w:rPr>
      </w:pPr>
    </w:p>
    <w:p w14:paraId="05351570" w14:textId="77777777" w:rsidR="00973374" w:rsidRDefault="00973374" w:rsidP="00D42C11">
      <w:pPr>
        <w:jc w:val="both"/>
        <w:rPr>
          <w:rFonts w:eastAsia="+mn-ea" w:cs="+mn-cs"/>
          <w:kern w:val="24"/>
        </w:rPr>
      </w:pPr>
    </w:p>
    <w:p w14:paraId="74A80D8C" w14:textId="77777777" w:rsidR="00973374" w:rsidRDefault="00973374" w:rsidP="00D42C11">
      <w:pPr>
        <w:jc w:val="both"/>
        <w:rPr>
          <w:rFonts w:eastAsia="+mn-ea" w:cs="+mn-cs"/>
          <w:kern w:val="24"/>
        </w:rPr>
      </w:pPr>
    </w:p>
    <w:p w14:paraId="5CE44AC4" w14:textId="77777777" w:rsidR="00973374" w:rsidRDefault="00973374" w:rsidP="00D42C11">
      <w:pPr>
        <w:jc w:val="both"/>
        <w:rPr>
          <w:rFonts w:eastAsia="+mn-ea" w:cs="+mn-cs"/>
          <w:kern w:val="24"/>
        </w:rPr>
      </w:pPr>
    </w:p>
    <w:p w14:paraId="60743C79" w14:textId="6E1CAB4B" w:rsidR="00973374" w:rsidRPr="00973374" w:rsidRDefault="00973374" w:rsidP="00D42C11">
      <w:pPr>
        <w:jc w:val="both"/>
        <w:rPr>
          <w:b/>
          <w:bCs/>
        </w:rPr>
      </w:pPr>
      <w:proofErr w:type="spellStart"/>
      <w:r w:rsidRPr="00195FC3">
        <w:rPr>
          <w:rFonts w:eastAsia="+mn-ea" w:cs="+mn-cs"/>
          <w:kern w:val="24"/>
        </w:rPr>
        <w:t>Agritechnica</w:t>
      </w:r>
      <w:proofErr w:type="spellEnd"/>
      <w:r w:rsidRPr="00195FC3">
        <w:rPr>
          <w:rFonts w:eastAsia="+mn-ea" w:cs="+mn-cs"/>
          <w:kern w:val="24"/>
        </w:rPr>
        <w:t xml:space="preserve">, la feria más grande del mundo bajo techo de maquinaria agrícola. </w:t>
      </w:r>
      <w:r w:rsidRPr="00195FC3">
        <w:t xml:space="preserve">Se trata de </w:t>
      </w:r>
      <w:r w:rsidRPr="00195FC3">
        <w:rPr>
          <w:rFonts w:eastAsia="+mn-ea" w:cs="+mn-cs"/>
          <w:kern w:val="24"/>
        </w:rPr>
        <w:t xml:space="preserve">18 especialistas nacionales y extranjeros. Los mismos son designados por AAPRESID, CREA, CEIL, Centro Metropolitano de Diseño (CMD), Universidad de Morón, INTA, Universidad de Córdoba, Universidad de Buenos Aires (FAUBA), CONICET, Fundación </w:t>
      </w:r>
      <w:proofErr w:type="spellStart"/>
      <w:r w:rsidRPr="00195FC3">
        <w:rPr>
          <w:rFonts w:eastAsia="+mn-ea" w:cs="+mn-cs"/>
          <w:kern w:val="24"/>
        </w:rPr>
        <w:t>Cideter</w:t>
      </w:r>
      <w:proofErr w:type="spellEnd"/>
      <w:r w:rsidRPr="00195FC3">
        <w:rPr>
          <w:rFonts w:eastAsia="+mn-ea" w:cs="+mn-cs"/>
          <w:kern w:val="24"/>
        </w:rPr>
        <w:t xml:space="preserve">, Universidad de </w:t>
      </w:r>
      <w:proofErr w:type="spellStart"/>
      <w:r w:rsidRPr="00195FC3">
        <w:rPr>
          <w:rFonts w:eastAsia="+mn-ea" w:cs="+mn-cs"/>
          <w:kern w:val="24"/>
        </w:rPr>
        <w:t>Bingen</w:t>
      </w:r>
      <w:proofErr w:type="spellEnd"/>
      <w:r w:rsidRPr="00195FC3">
        <w:rPr>
          <w:rFonts w:eastAsia="+mn-ea" w:cs="+mn-cs"/>
          <w:kern w:val="24"/>
        </w:rPr>
        <w:t xml:space="preserve"> (Alemania), DLG (Alemania). INTI, Universidad Nacional de Río Cuarto.</w:t>
      </w:r>
    </w:p>
    <w:p w14:paraId="6640E744" w14:textId="77777777" w:rsidR="00973374" w:rsidRPr="00195FC3" w:rsidRDefault="00973374" w:rsidP="00D42C11">
      <w:pPr>
        <w:pStyle w:val="NormalWeb"/>
        <w:spacing w:before="0" w:beforeAutospacing="0" w:after="0" w:afterAutospacing="0"/>
        <w:jc w:val="both"/>
        <w:rPr>
          <w:rFonts w:asciiTheme="minorHAnsi" w:hAnsiTheme="minorHAnsi"/>
          <w:b/>
          <w:bCs/>
          <w:sz w:val="22"/>
          <w:szCs w:val="22"/>
        </w:rPr>
      </w:pPr>
      <w:r w:rsidRPr="00195FC3">
        <w:rPr>
          <w:rFonts w:asciiTheme="minorHAnsi" w:hAnsiTheme="minorHAnsi"/>
          <w:b/>
          <w:bCs/>
          <w:sz w:val="22"/>
          <w:szCs w:val="22"/>
        </w:rPr>
        <w:t>Rubros</w:t>
      </w:r>
    </w:p>
    <w:p w14:paraId="62F4F876"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1. Maquinaria, componentes y accesorios de siembra.</w:t>
      </w:r>
    </w:p>
    <w:p w14:paraId="6AECC21F"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 xml:space="preserve">2. Maquinaria, componentes y accesorios de </w:t>
      </w:r>
      <w:r w:rsidRPr="00195FC3">
        <w:rPr>
          <w:rFonts w:asciiTheme="minorHAnsi" w:eastAsia="+mn-ea" w:hAnsiTheme="minorHAnsi" w:cs="+mn-cs"/>
          <w:i/>
          <w:iCs/>
          <w:kern w:val="24"/>
          <w:sz w:val="22"/>
          <w:szCs w:val="22"/>
          <w:lang w:val="es-ES"/>
        </w:rPr>
        <w:t>fertilización</w:t>
      </w:r>
      <w:r w:rsidRPr="00195FC3">
        <w:rPr>
          <w:rFonts w:asciiTheme="minorHAnsi" w:eastAsia="+mn-ea" w:hAnsiTheme="minorHAnsi" w:cs="+mn-cs"/>
          <w:kern w:val="24"/>
          <w:sz w:val="22"/>
          <w:szCs w:val="22"/>
          <w:lang w:val="es-ES"/>
        </w:rPr>
        <w:t>.</w:t>
      </w:r>
    </w:p>
    <w:p w14:paraId="17E017C0"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 xml:space="preserve">3. Maquinaria, componentes y accesorios de </w:t>
      </w:r>
      <w:r w:rsidRPr="00195FC3">
        <w:rPr>
          <w:rFonts w:asciiTheme="minorHAnsi" w:eastAsia="+mn-ea" w:hAnsiTheme="minorHAnsi" w:cs="+mn-cs"/>
          <w:i/>
          <w:iCs/>
          <w:kern w:val="24"/>
          <w:sz w:val="22"/>
          <w:szCs w:val="22"/>
          <w:lang w:val="es-ES"/>
        </w:rPr>
        <w:t>protección vegetal.</w:t>
      </w:r>
    </w:p>
    <w:p w14:paraId="0AFBD73A"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 xml:space="preserve">4. Maquinaria, componentes y accesorios de </w:t>
      </w:r>
      <w:r w:rsidRPr="00195FC3">
        <w:rPr>
          <w:rFonts w:asciiTheme="minorHAnsi" w:eastAsia="+mn-ea" w:hAnsiTheme="minorHAnsi" w:cs="+mn-cs"/>
          <w:i/>
          <w:iCs/>
          <w:kern w:val="24"/>
          <w:sz w:val="22"/>
          <w:szCs w:val="22"/>
          <w:lang w:val="es-ES"/>
        </w:rPr>
        <w:t>cosecha</w:t>
      </w:r>
      <w:r w:rsidRPr="00195FC3">
        <w:rPr>
          <w:rFonts w:asciiTheme="minorHAnsi" w:eastAsia="+mn-ea" w:hAnsiTheme="minorHAnsi" w:cs="+mn-cs"/>
          <w:kern w:val="24"/>
          <w:sz w:val="22"/>
          <w:szCs w:val="22"/>
          <w:lang w:val="es-ES"/>
        </w:rPr>
        <w:t>.</w:t>
      </w:r>
    </w:p>
    <w:p w14:paraId="7A7C8191"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 xml:space="preserve">5. Maquinaria, componentes y accesorios de </w:t>
      </w:r>
      <w:proofErr w:type="spellStart"/>
      <w:r w:rsidRPr="00195FC3">
        <w:rPr>
          <w:rFonts w:asciiTheme="minorHAnsi" w:eastAsia="+mn-ea" w:hAnsiTheme="minorHAnsi" w:cs="+mn-cs"/>
          <w:kern w:val="24"/>
          <w:sz w:val="22"/>
          <w:szCs w:val="22"/>
          <w:lang w:val="es-ES"/>
        </w:rPr>
        <w:t>poscosecha</w:t>
      </w:r>
      <w:proofErr w:type="spellEnd"/>
      <w:r w:rsidRPr="00195FC3">
        <w:rPr>
          <w:rFonts w:asciiTheme="minorHAnsi" w:eastAsia="+mn-ea" w:hAnsiTheme="minorHAnsi" w:cs="+mn-cs"/>
          <w:kern w:val="24"/>
          <w:sz w:val="22"/>
          <w:szCs w:val="22"/>
          <w:lang w:val="es-ES"/>
        </w:rPr>
        <w:t>.</w:t>
      </w:r>
    </w:p>
    <w:p w14:paraId="15838C0B"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6. Maquinaria, componentes y accesorios multifunción.</w:t>
      </w:r>
    </w:p>
    <w:p w14:paraId="72A038EA"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Maquinaria, componentes y accesorios para forrajes.</w:t>
      </w:r>
    </w:p>
    <w:p w14:paraId="07B46EAF"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8. Maquinaria, componentes y accesorios para energías renovables y eficiencia energética.</w:t>
      </w:r>
    </w:p>
    <w:p w14:paraId="3006E4D9"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 xml:space="preserve">9. Maquinaria, componentes y accesorio para producción de </w:t>
      </w:r>
      <w:proofErr w:type="spellStart"/>
      <w:r w:rsidRPr="00195FC3">
        <w:rPr>
          <w:rFonts w:asciiTheme="minorHAnsi" w:eastAsia="+mn-ea" w:hAnsiTheme="minorHAnsi" w:cs="+mn-cs"/>
          <w:kern w:val="24"/>
          <w:sz w:val="22"/>
          <w:szCs w:val="22"/>
          <w:lang w:val="es-ES"/>
        </w:rPr>
        <w:t>agroalimentos</w:t>
      </w:r>
      <w:proofErr w:type="spellEnd"/>
    </w:p>
    <w:p w14:paraId="1386384B"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10. Tractores</w:t>
      </w:r>
    </w:p>
    <w:p w14:paraId="1F2A5876" w14:textId="77777777" w:rsidR="00973374" w:rsidRPr="00195FC3" w:rsidRDefault="00973374" w:rsidP="00D42C11">
      <w:pPr>
        <w:pStyle w:val="NormalWeb"/>
        <w:spacing w:before="0" w:beforeAutospacing="0" w:after="0" w:afterAutospacing="0"/>
        <w:jc w:val="both"/>
        <w:rPr>
          <w:rFonts w:asciiTheme="minorHAnsi" w:hAnsiTheme="minorHAnsi"/>
          <w:sz w:val="22"/>
          <w:szCs w:val="22"/>
        </w:rPr>
      </w:pPr>
      <w:r w:rsidRPr="00195FC3">
        <w:rPr>
          <w:rFonts w:asciiTheme="minorHAnsi" w:eastAsia="+mn-ea" w:hAnsiTheme="minorHAnsi" w:cs="+mn-cs"/>
          <w:kern w:val="24"/>
          <w:sz w:val="22"/>
          <w:szCs w:val="22"/>
          <w:lang w:val="es-ES"/>
        </w:rPr>
        <w:t>11. Robótica aplicada a la agroindustria.</w:t>
      </w:r>
    </w:p>
    <w:p w14:paraId="099BE502" w14:textId="77777777" w:rsidR="00301C01" w:rsidRDefault="00301C01" w:rsidP="00D42C11">
      <w:pPr>
        <w:jc w:val="both"/>
      </w:pPr>
    </w:p>
    <w:p w14:paraId="3CAD333A" w14:textId="77777777" w:rsidR="00301C01" w:rsidRDefault="00301C01" w:rsidP="00D42C11">
      <w:pPr>
        <w:jc w:val="both"/>
      </w:pPr>
    </w:p>
    <w:p w14:paraId="5B930612" w14:textId="77777777" w:rsidR="008025ED" w:rsidRDefault="008025ED" w:rsidP="00D42C11">
      <w:pPr>
        <w:jc w:val="both"/>
      </w:pPr>
    </w:p>
    <w:p w14:paraId="325CBDC0" w14:textId="77777777" w:rsidR="008025ED" w:rsidRPr="00516484" w:rsidRDefault="008025ED" w:rsidP="00D42C11">
      <w:pPr>
        <w:jc w:val="both"/>
        <w:rPr>
          <w:b/>
        </w:rPr>
      </w:pPr>
    </w:p>
    <w:sectPr w:rsidR="008025ED" w:rsidRPr="0051648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22F02" w14:textId="77777777" w:rsidR="00BF2012" w:rsidRDefault="00BF2012" w:rsidP="008025ED">
      <w:pPr>
        <w:spacing w:after="0" w:line="240" w:lineRule="auto"/>
      </w:pPr>
      <w:r>
        <w:separator/>
      </w:r>
    </w:p>
  </w:endnote>
  <w:endnote w:type="continuationSeparator" w:id="0">
    <w:p w14:paraId="29736EDF" w14:textId="77777777" w:rsidR="00BF2012" w:rsidRDefault="00BF2012"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64EC"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C62D"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F3A0"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CBAE" w14:textId="77777777" w:rsidR="00BF2012" w:rsidRDefault="00BF2012" w:rsidP="008025ED">
      <w:pPr>
        <w:spacing w:after="0" w:line="240" w:lineRule="auto"/>
      </w:pPr>
      <w:r>
        <w:separator/>
      </w:r>
    </w:p>
  </w:footnote>
  <w:footnote w:type="continuationSeparator" w:id="0">
    <w:p w14:paraId="52511E15" w14:textId="77777777" w:rsidR="00BF2012" w:rsidRDefault="00BF2012"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0DAE" w14:textId="77777777" w:rsidR="008025ED" w:rsidRDefault="00BF2012">
    <w:pPr>
      <w:pStyle w:val="Encabezado"/>
    </w:pPr>
    <w:r>
      <w:rPr>
        <w:noProof/>
        <w:lang w:eastAsia="es-AR"/>
      </w:rPr>
      <w:pict w14:anchorId="274A5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AE00" w14:textId="77777777" w:rsidR="008025ED" w:rsidRDefault="00BF2012">
    <w:pPr>
      <w:pStyle w:val="Encabezado"/>
    </w:pPr>
    <w:r>
      <w:rPr>
        <w:noProof/>
        <w:lang w:eastAsia="es-AR"/>
      </w:rPr>
      <w:pict w14:anchorId="69278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DFB8" w14:textId="77777777" w:rsidR="008025ED" w:rsidRDefault="00BF2012">
    <w:pPr>
      <w:pStyle w:val="Encabezado"/>
    </w:pPr>
    <w:r>
      <w:rPr>
        <w:noProof/>
        <w:lang w:eastAsia="es-AR"/>
      </w:rPr>
      <w:pict w14:anchorId="2D08A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C79"/>
    <w:multiLevelType w:val="hybridMultilevel"/>
    <w:tmpl w:val="E51ACBBC"/>
    <w:lvl w:ilvl="0" w:tplc="793EC6D4">
      <w:start w:val="1"/>
      <w:numFmt w:val="bullet"/>
      <w:lvlText w:val="•"/>
      <w:lvlJc w:val="left"/>
      <w:pPr>
        <w:tabs>
          <w:tab w:val="num" w:pos="720"/>
        </w:tabs>
        <w:ind w:left="720" w:hanging="360"/>
      </w:pPr>
      <w:rPr>
        <w:rFonts w:ascii="Arial" w:hAnsi="Arial" w:hint="default"/>
      </w:rPr>
    </w:lvl>
    <w:lvl w:ilvl="1" w:tplc="44C6CA3E" w:tentative="1">
      <w:start w:val="1"/>
      <w:numFmt w:val="bullet"/>
      <w:lvlText w:val="•"/>
      <w:lvlJc w:val="left"/>
      <w:pPr>
        <w:tabs>
          <w:tab w:val="num" w:pos="1440"/>
        </w:tabs>
        <w:ind w:left="1440" w:hanging="360"/>
      </w:pPr>
      <w:rPr>
        <w:rFonts w:ascii="Arial" w:hAnsi="Arial" w:hint="default"/>
      </w:rPr>
    </w:lvl>
    <w:lvl w:ilvl="2" w:tplc="473883FE" w:tentative="1">
      <w:start w:val="1"/>
      <w:numFmt w:val="bullet"/>
      <w:lvlText w:val="•"/>
      <w:lvlJc w:val="left"/>
      <w:pPr>
        <w:tabs>
          <w:tab w:val="num" w:pos="2160"/>
        </w:tabs>
        <w:ind w:left="2160" w:hanging="360"/>
      </w:pPr>
      <w:rPr>
        <w:rFonts w:ascii="Arial" w:hAnsi="Arial" w:hint="default"/>
      </w:rPr>
    </w:lvl>
    <w:lvl w:ilvl="3" w:tplc="2ADA64C0" w:tentative="1">
      <w:start w:val="1"/>
      <w:numFmt w:val="bullet"/>
      <w:lvlText w:val="•"/>
      <w:lvlJc w:val="left"/>
      <w:pPr>
        <w:tabs>
          <w:tab w:val="num" w:pos="2880"/>
        </w:tabs>
        <w:ind w:left="2880" w:hanging="360"/>
      </w:pPr>
      <w:rPr>
        <w:rFonts w:ascii="Arial" w:hAnsi="Arial" w:hint="default"/>
      </w:rPr>
    </w:lvl>
    <w:lvl w:ilvl="4" w:tplc="AB824640" w:tentative="1">
      <w:start w:val="1"/>
      <w:numFmt w:val="bullet"/>
      <w:lvlText w:val="•"/>
      <w:lvlJc w:val="left"/>
      <w:pPr>
        <w:tabs>
          <w:tab w:val="num" w:pos="3600"/>
        </w:tabs>
        <w:ind w:left="3600" w:hanging="360"/>
      </w:pPr>
      <w:rPr>
        <w:rFonts w:ascii="Arial" w:hAnsi="Arial" w:hint="default"/>
      </w:rPr>
    </w:lvl>
    <w:lvl w:ilvl="5" w:tplc="8E70CA22" w:tentative="1">
      <w:start w:val="1"/>
      <w:numFmt w:val="bullet"/>
      <w:lvlText w:val="•"/>
      <w:lvlJc w:val="left"/>
      <w:pPr>
        <w:tabs>
          <w:tab w:val="num" w:pos="4320"/>
        </w:tabs>
        <w:ind w:left="4320" w:hanging="360"/>
      </w:pPr>
      <w:rPr>
        <w:rFonts w:ascii="Arial" w:hAnsi="Arial" w:hint="default"/>
      </w:rPr>
    </w:lvl>
    <w:lvl w:ilvl="6" w:tplc="3312926E" w:tentative="1">
      <w:start w:val="1"/>
      <w:numFmt w:val="bullet"/>
      <w:lvlText w:val="•"/>
      <w:lvlJc w:val="left"/>
      <w:pPr>
        <w:tabs>
          <w:tab w:val="num" w:pos="5040"/>
        </w:tabs>
        <w:ind w:left="5040" w:hanging="360"/>
      </w:pPr>
      <w:rPr>
        <w:rFonts w:ascii="Arial" w:hAnsi="Arial" w:hint="default"/>
      </w:rPr>
    </w:lvl>
    <w:lvl w:ilvl="7" w:tplc="02389200" w:tentative="1">
      <w:start w:val="1"/>
      <w:numFmt w:val="bullet"/>
      <w:lvlText w:val="•"/>
      <w:lvlJc w:val="left"/>
      <w:pPr>
        <w:tabs>
          <w:tab w:val="num" w:pos="5760"/>
        </w:tabs>
        <w:ind w:left="5760" w:hanging="360"/>
      </w:pPr>
      <w:rPr>
        <w:rFonts w:ascii="Arial" w:hAnsi="Arial" w:hint="default"/>
      </w:rPr>
    </w:lvl>
    <w:lvl w:ilvl="8" w:tplc="B64048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ED"/>
    <w:rsid w:val="000B0066"/>
    <w:rsid w:val="00301C01"/>
    <w:rsid w:val="00313487"/>
    <w:rsid w:val="00402230"/>
    <w:rsid w:val="00516484"/>
    <w:rsid w:val="00554C74"/>
    <w:rsid w:val="005A6C53"/>
    <w:rsid w:val="006066BC"/>
    <w:rsid w:val="008025ED"/>
    <w:rsid w:val="00973374"/>
    <w:rsid w:val="00AD102A"/>
    <w:rsid w:val="00BF2012"/>
    <w:rsid w:val="00C61162"/>
    <w:rsid w:val="00CC7EE9"/>
    <w:rsid w:val="00D42C11"/>
    <w:rsid w:val="00D97188"/>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C7233"/>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97337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2970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4</cp:revision>
  <cp:lastPrinted>2019-07-02T14:55:00Z</cp:lastPrinted>
  <dcterms:created xsi:type="dcterms:W3CDTF">2020-03-12T21:40:00Z</dcterms:created>
  <dcterms:modified xsi:type="dcterms:W3CDTF">2020-03-13T11:55:00Z</dcterms:modified>
</cp:coreProperties>
</file>