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50B5" w14:textId="77777777" w:rsidR="00466463" w:rsidRPr="00466463" w:rsidRDefault="00466463" w:rsidP="004664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</w:pPr>
      <w:r w:rsidRPr="00466463">
        <w:rPr>
          <w:rFonts w:eastAsia="Times New Roman" w:cstheme="minorHAnsi"/>
          <w:b/>
          <w:bCs/>
          <w:kern w:val="0"/>
          <w:sz w:val="32"/>
          <w:szCs w:val="32"/>
          <w14:ligatures w14:val="none"/>
        </w:rPr>
        <w:t>Un premio que abre puertas al mundo: la experiencia internacional de Marinelli Technology en Agritechnica</w:t>
      </w:r>
    </w:p>
    <w:p w14:paraId="07500A1F" w14:textId="6E478340" w:rsidR="00466463" w:rsidRPr="00466463" w:rsidRDefault="00466463" w:rsidP="00466463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kern w:val="0"/>
          <w14:ligatures w14:val="none"/>
        </w:rPr>
      </w:pPr>
      <w:r w:rsidRPr="00466463">
        <w:rPr>
          <w:rFonts w:eastAsia="Times New Roman" w:cstheme="minorHAnsi"/>
          <w:i/>
          <w:iCs/>
          <w:kern w:val="0"/>
          <w14:ligatures w14:val="none"/>
        </w:rPr>
        <w:br/>
        <w:t>Marinelli Technology llevó su innovación a Hannover, Alemania, tras ser seleccionad</w:t>
      </w:r>
      <w:r>
        <w:rPr>
          <w:rFonts w:eastAsia="Times New Roman" w:cstheme="minorHAnsi"/>
          <w:i/>
          <w:iCs/>
          <w:kern w:val="0"/>
          <w:lang w:val="es-419"/>
          <w14:ligatures w14:val="none"/>
        </w:rPr>
        <w:t>o</w:t>
      </w:r>
      <w:r w:rsidRPr="00466463">
        <w:rPr>
          <w:rFonts w:eastAsia="Times New Roman" w:cstheme="minorHAnsi"/>
          <w:i/>
          <w:iCs/>
          <w:kern w:val="0"/>
          <w14:ligatures w14:val="none"/>
        </w:rPr>
        <w:t xml:space="preserve"> por la DLG gracias a la Medalla de Oro del Premio Ternium</w:t>
      </w:r>
      <w:r>
        <w:rPr>
          <w:rFonts w:eastAsia="Times New Roman" w:cstheme="minorHAnsi"/>
          <w:i/>
          <w:iCs/>
          <w:kern w:val="0"/>
          <w:lang w:val="es-419"/>
          <w14:ligatures w14:val="none"/>
        </w:rPr>
        <w:t>-</w:t>
      </w:r>
      <w:r w:rsidRPr="00466463">
        <w:rPr>
          <w:rFonts w:eastAsia="Times New Roman" w:cstheme="minorHAnsi"/>
          <w:i/>
          <w:iCs/>
          <w:kern w:val="0"/>
          <w14:ligatures w14:val="none"/>
        </w:rPr>
        <w:t>Expoagro a la Innovación Agroindustrial. “Superó ampliamente nuestras expectativas”, afirmó Nicolás Marinelli, destacando contactos estratégicos y el interés global por su tecnología autónoma.</w:t>
      </w:r>
    </w:p>
    <w:p w14:paraId="6F452381" w14:textId="77777777" w:rsid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65664C64" w14:textId="79CE028F" w:rsidR="00466463" w:rsidRP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t xml:space="preserve">La historia de Marinelli Technology confirma que la innovación argentina tiene proyección global cuando encuentra espacios que la impulsen. Gracias a haber sido distinguida con la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Medalla de Oro en la 9° edición del Premio Ternium Expoagro a la Innovación Agroindustrial</w:t>
      </w:r>
      <w:r w:rsidRPr="00466463">
        <w:rPr>
          <w:rFonts w:eastAsia="Times New Roman" w:cstheme="minorHAnsi"/>
          <w:kern w:val="0"/>
          <w14:ligatures w14:val="none"/>
        </w:rPr>
        <w:t xml:space="preserve">, la empresa santafesina fue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seleccionada por la Sociedad Alemana de Agricultura (DLG)</w:t>
      </w:r>
      <w:r w:rsidRPr="00466463">
        <w:rPr>
          <w:rFonts w:eastAsia="Times New Roman" w:cstheme="minorHAnsi"/>
          <w:kern w:val="0"/>
          <w14:ligatures w14:val="none"/>
        </w:rPr>
        <w:t xml:space="preserve"> para participar de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Agritechnica 2025</w:t>
      </w:r>
      <w:r w:rsidRPr="00466463">
        <w:rPr>
          <w:rFonts w:eastAsia="Times New Roman" w:cstheme="minorHAnsi"/>
          <w:kern w:val="0"/>
          <w14:ligatures w14:val="none"/>
        </w:rPr>
        <w:t>, la feria de maquinaria agrícola más importante del mundo.</w:t>
      </w:r>
    </w:p>
    <w:p w14:paraId="208D8354" w14:textId="77777777" w:rsidR="00466463" w:rsidRP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t>Esta invitación especial –de la que solo participan desarrollos destacados por su aporte tecnológico– catapultó a la firma a un escenario internacional decisivo para su crecimiento.</w:t>
      </w:r>
    </w:p>
    <w:p w14:paraId="7C3EA898" w14:textId="77777777" w:rsidR="00466463" w:rsidRPr="00466463" w:rsidRDefault="00466463" w:rsidP="00466463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66463">
        <w:rPr>
          <w:rFonts w:eastAsia="Times New Roman" w:cstheme="minorHAnsi"/>
          <w:b/>
          <w:bCs/>
          <w:kern w:val="0"/>
          <w14:ligatures w14:val="none"/>
        </w:rPr>
        <w:t>Innovación argentina en el centro de la tecnología mundial</w:t>
      </w:r>
    </w:p>
    <w:p w14:paraId="59DF3E01" w14:textId="627611C8" w:rsidR="00466463" w:rsidRPr="00466463" w:rsidRDefault="00466463" w:rsidP="00B21F0F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t xml:space="preserve">Fuera del Pabellón Nacional Argentino, Marinelli Technology logró un lugar protagónico en el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Digital Farm Center Especial</w:t>
      </w:r>
      <w:r w:rsidRPr="00466463">
        <w:rPr>
          <w:rFonts w:eastAsia="Times New Roman" w:cstheme="minorHAnsi"/>
          <w:kern w:val="0"/>
          <w14:ligatures w14:val="none"/>
        </w:rPr>
        <w:t>, un espacio dividido en cuatro áreas clave de la agricultura del futuro:</w:t>
      </w:r>
      <w:r w:rsidR="00B21F0F">
        <w:rPr>
          <w:rFonts w:eastAsia="Times New Roman" w:cstheme="minorHAnsi"/>
          <w:kern w:val="0"/>
          <w14:ligatures w14:val="none"/>
        </w:rPr>
        <w:t xml:space="preserve"> </w:t>
      </w:r>
      <w:r w:rsidRPr="005E606E">
        <w:rPr>
          <w:rFonts w:eastAsia="Times New Roman" w:cstheme="minorHAnsi"/>
          <w:kern w:val="0"/>
          <w14:ligatures w14:val="none"/>
        </w:rPr>
        <w:t>sistemas GPS y guiado</w:t>
      </w:r>
      <w:r w:rsidR="00B21F0F" w:rsidRPr="005E606E">
        <w:rPr>
          <w:rFonts w:eastAsia="Times New Roman" w:cstheme="minorHAnsi"/>
          <w:kern w:val="0"/>
          <w14:ligatures w14:val="none"/>
        </w:rPr>
        <w:t xml:space="preserve">, </w:t>
      </w:r>
      <w:r w:rsidRPr="005E606E">
        <w:rPr>
          <w:rFonts w:eastAsia="Times New Roman" w:cstheme="minorHAnsi"/>
          <w:kern w:val="0"/>
          <w14:ligatures w14:val="none"/>
        </w:rPr>
        <w:t>software</w:t>
      </w:r>
      <w:r w:rsidR="00B21F0F" w:rsidRPr="005E606E">
        <w:rPr>
          <w:rFonts w:eastAsia="Times New Roman" w:cstheme="minorHAnsi"/>
          <w:kern w:val="0"/>
          <w14:ligatures w14:val="none"/>
        </w:rPr>
        <w:t xml:space="preserve">, </w:t>
      </w:r>
      <w:r w:rsidRPr="005E606E">
        <w:rPr>
          <w:rFonts w:eastAsia="Times New Roman" w:cstheme="minorHAnsi"/>
          <w:kern w:val="0"/>
          <w14:ligatures w14:val="none"/>
        </w:rPr>
        <w:t>sensores</w:t>
      </w:r>
      <w:r w:rsidR="00B21F0F" w:rsidRPr="005E606E">
        <w:rPr>
          <w:rFonts w:eastAsia="Times New Roman" w:cstheme="minorHAnsi"/>
          <w:kern w:val="0"/>
          <w14:ligatures w14:val="none"/>
        </w:rPr>
        <w:t xml:space="preserve">, </w:t>
      </w:r>
      <w:r w:rsidRPr="005E606E">
        <w:rPr>
          <w:rFonts w:eastAsia="Times New Roman" w:cstheme="minorHAnsi"/>
          <w:kern w:val="0"/>
          <w14:ligatures w14:val="none"/>
        </w:rPr>
        <w:t>robótica y drones</w:t>
      </w:r>
      <w:r w:rsidR="00B21F0F" w:rsidRPr="005E606E">
        <w:rPr>
          <w:rFonts w:eastAsia="Times New Roman" w:cstheme="minorHAnsi"/>
          <w:kern w:val="0"/>
          <w14:ligatures w14:val="none"/>
        </w:rPr>
        <w:t>.</w:t>
      </w:r>
    </w:p>
    <w:p w14:paraId="645A9A22" w14:textId="77777777" w:rsidR="00466463" w:rsidRP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t xml:space="preserve">Entre pantallas táctiles, demostraciones y tecnologías de vanguardia,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Nicolás Marinelli, CEO de la empresa</w:t>
      </w:r>
      <w:r w:rsidRPr="00466463">
        <w:rPr>
          <w:rFonts w:eastAsia="Times New Roman" w:cstheme="minorHAnsi"/>
          <w:kern w:val="0"/>
          <w14:ligatures w14:val="none"/>
        </w:rPr>
        <w:t xml:space="preserve">, presentó el desarrollo que los llevó hasta Alemania: el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Sistema Integral Autónomo (SteerMaster)</w:t>
      </w:r>
      <w:r w:rsidRPr="00466463">
        <w:rPr>
          <w:rFonts w:eastAsia="Times New Roman" w:cstheme="minorHAnsi"/>
          <w:kern w:val="0"/>
          <w14:ligatures w14:val="none"/>
        </w:rPr>
        <w:t>, galardonado con Medalla de Oro en el Premio Ternium Expoagro por sus aportes a la robotización agrícola.</w:t>
      </w:r>
    </w:p>
    <w:p w14:paraId="00E8F0F9" w14:textId="03712387" w:rsidR="00B21F0F" w:rsidRP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t xml:space="preserve">Se trata de una plataforma que permite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automatizar y robotizar cualquier maquinaria agrícola</w:t>
      </w:r>
      <w:r w:rsidRPr="00466463">
        <w:rPr>
          <w:rFonts w:eastAsia="Times New Roman" w:cstheme="minorHAnsi"/>
          <w:kern w:val="0"/>
          <w14:ligatures w14:val="none"/>
        </w:rPr>
        <w:t>, e incluso equipos de otros rubros, mediante sensores, electrónica avanzada y un paquete integral de software y control. Su flexibilidad y escalabilidad fueron claves para que la DLG lo considerara un ejemplo de innovación con potencial global.</w:t>
      </w:r>
    </w:p>
    <w:p w14:paraId="7EF1D08D" w14:textId="77777777" w:rsidR="00466463" w:rsidRPr="00466463" w:rsidRDefault="00466463" w:rsidP="00466463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66463">
        <w:rPr>
          <w:rFonts w:eastAsia="Times New Roman" w:cstheme="minorHAnsi"/>
          <w:b/>
          <w:bCs/>
          <w:kern w:val="0"/>
          <w14:ligatures w14:val="none"/>
        </w:rPr>
        <w:t>Un premio que habilita oportunidades internacionales</w:t>
      </w:r>
    </w:p>
    <w:p w14:paraId="1DDAAA4F" w14:textId="3F4D049D" w:rsidR="00466463" w:rsidRP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5E606E">
        <w:rPr>
          <w:rFonts w:eastAsia="Times New Roman" w:cstheme="minorHAnsi"/>
          <w:kern w:val="0"/>
          <w14:ligatures w14:val="none"/>
        </w:rPr>
        <w:lastRenderedPageBreak/>
        <w:t xml:space="preserve">Para </w:t>
      </w:r>
      <w:r w:rsidR="007879C7" w:rsidRPr="005E606E">
        <w:rPr>
          <w:rFonts w:eastAsia="Times New Roman" w:cstheme="minorHAnsi"/>
          <w:kern w:val="0"/>
          <w14:ligatures w14:val="none"/>
        </w:rPr>
        <w:t>el emprendedor tecnológico, oriundo de Venado Tuerto (Santa Fe),</w:t>
      </w:r>
      <w:r w:rsidRPr="005E606E">
        <w:rPr>
          <w:rFonts w:eastAsia="Times New Roman" w:cstheme="minorHAnsi"/>
          <w:kern w:val="0"/>
          <w14:ligatures w14:val="none"/>
        </w:rPr>
        <w:t xml:space="preserve"> el </w:t>
      </w:r>
      <w:r w:rsidRPr="00466463">
        <w:rPr>
          <w:rFonts w:eastAsia="Times New Roman" w:cstheme="minorHAnsi"/>
          <w:kern w:val="0"/>
          <w14:ligatures w14:val="none"/>
        </w:rPr>
        <w:t xml:space="preserve">salto de la distinción local a una vidriera global fue determinante. El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Premio Ternium Expoagro demostró ser una herramienta concreta para abrir puertas:</w:t>
      </w:r>
    </w:p>
    <w:p w14:paraId="68C4608E" w14:textId="44021B97" w:rsidR="00466463" w:rsidRPr="00466463" w:rsidRDefault="00466463" w:rsidP="00466463">
      <w:pPr>
        <w:spacing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i/>
          <w:iCs/>
          <w:kern w:val="0"/>
          <w14:ligatures w14:val="none"/>
        </w:rPr>
        <w:t xml:space="preserve">“El balance de nuestra participación en Agritechnica fue más que positivo. Superó ampliamente nuestras expectativas, sobre todo siendo </w:t>
      </w:r>
      <w:r>
        <w:rPr>
          <w:rFonts w:eastAsia="Times New Roman" w:cstheme="minorHAnsi"/>
          <w:i/>
          <w:iCs/>
          <w:kern w:val="0"/>
          <w:lang w:val="es-419"/>
          <w14:ligatures w14:val="none"/>
        </w:rPr>
        <w:t>la</w:t>
      </w:r>
      <w:r w:rsidRPr="00466463">
        <w:rPr>
          <w:rFonts w:eastAsia="Times New Roman" w:cstheme="minorHAnsi"/>
          <w:i/>
          <w:iCs/>
          <w:kern w:val="0"/>
          <w14:ligatures w14:val="none"/>
        </w:rPr>
        <w:t xml:space="preserve"> primera vez en la feria. La DLG nos seleccionó por la Medalla de Oro del Premio Ternium, y gracias a eso pudimos estar dentro del Digital Farming. La repercusión fue enorme”</w:t>
      </w:r>
      <w:r w:rsidRPr="00466463">
        <w:rPr>
          <w:rFonts w:eastAsia="Times New Roman" w:cstheme="minorHAnsi"/>
          <w:kern w:val="0"/>
          <w14:ligatures w14:val="none"/>
        </w:rPr>
        <w:t>, destacó Nicolás Marinelli.</w:t>
      </w:r>
    </w:p>
    <w:p w14:paraId="50B908D8" w14:textId="38712BCB" w:rsidR="00466463" w:rsidRPr="00466463" w:rsidRDefault="002A6D36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5E606E">
        <w:rPr>
          <w:rFonts w:eastAsia="Times New Roman" w:cstheme="minorHAnsi"/>
          <w:kern w:val="0"/>
          <w14:ligatures w14:val="none"/>
        </w:rPr>
        <w:t xml:space="preserve">Además, </w:t>
      </w:r>
      <w:r w:rsidR="00466463" w:rsidRPr="005E606E">
        <w:rPr>
          <w:rFonts w:eastAsia="Times New Roman" w:cstheme="minorHAnsi"/>
          <w:kern w:val="0"/>
          <w14:ligatures w14:val="none"/>
        </w:rPr>
        <w:t xml:space="preserve">explicó </w:t>
      </w:r>
      <w:r w:rsidR="00466463" w:rsidRPr="00466463">
        <w:rPr>
          <w:rFonts w:eastAsia="Times New Roman" w:cstheme="minorHAnsi"/>
          <w:kern w:val="0"/>
          <w14:ligatures w14:val="none"/>
        </w:rPr>
        <w:t xml:space="preserve">que el </w:t>
      </w:r>
      <w:proofErr w:type="spellStart"/>
      <w:r w:rsidR="00466463" w:rsidRPr="00466463">
        <w:rPr>
          <w:rFonts w:eastAsia="Times New Roman" w:cstheme="minorHAnsi"/>
          <w:kern w:val="0"/>
          <w14:ligatures w14:val="none"/>
        </w:rPr>
        <w:t>SteerMaster</w:t>
      </w:r>
      <w:proofErr w:type="spellEnd"/>
      <w:r w:rsidR="00466463" w:rsidRPr="00466463">
        <w:rPr>
          <w:rFonts w:eastAsia="Times New Roman" w:cstheme="minorHAnsi"/>
          <w:kern w:val="0"/>
          <w14:ligatures w14:val="none"/>
        </w:rPr>
        <w:t xml:space="preserve"> y el </w:t>
      </w:r>
      <w:r w:rsidR="00466463" w:rsidRPr="006635FF">
        <w:rPr>
          <w:rFonts w:eastAsia="Times New Roman" w:cstheme="minorHAnsi"/>
          <w:i/>
          <w:iCs/>
          <w:kern w:val="0"/>
          <w14:ligatures w14:val="none"/>
        </w:rPr>
        <w:t>know-how</w:t>
      </w:r>
      <w:r w:rsidR="00466463" w:rsidRPr="00466463">
        <w:rPr>
          <w:rFonts w:eastAsia="Times New Roman" w:cstheme="minorHAnsi"/>
          <w:kern w:val="0"/>
          <w14:ligatures w14:val="none"/>
        </w:rPr>
        <w:t xml:space="preserve"> de la empresa despertaron el interés de compañías internacionales, generando </w:t>
      </w:r>
      <w:r w:rsidR="00466463" w:rsidRPr="00466463">
        <w:rPr>
          <w:rFonts w:eastAsia="Times New Roman" w:cstheme="minorHAnsi"/>
          <w:b/>
          <w:bCs/>
          <w:kern w:val="0"/>
          <w14:ligatures w14:val="none"/>
        </w:rPr>
        <w:t>contactos estratégicos</w:t>
      </w:r>
      <w:r w:rsidR="00466463" w:rsidRPr="00466463">
        <w:rPr>
          <w:rFonts w:eastAsia="Times New Roman" w:cstheme="minorHAnsi"/>
          <w:kern w:val="0"/>
          <w14:ligatures w14:val="none"/>
        </w:rPr>
        <w:t>, oportunidades comerciales y posibilidades de cooperación tecnológica.</w:t>
      </w:r>
    </w:p>
    <w:p w14:paraId="23B217A2" w14:textId="77777777" w:rsidR="00466463" w:rsidRPr="00466463" w:rsidRDefault="00466463" w:rsidP="00466463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66463">
        <w:rPr>
          <w:rFonts w:eastAsia="Times New Roman" w:cstheme="minorHAnsi"/>
          <w:b/>
          <w:bCs/>
          <w:kern w:val="0"/>
          <w14:ligatures w14:val="none"/>
        </w:rPr>
        <w:t>Tendencias globales que marcan el camino</w:t>
      </w:r>
    </w:p>
    <w:p w14:paraId="46904608" w14:textId="13D58EF6" w:rsidR="00466463" w:rsidRP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val="es-419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t>Durante su recorrido por Agritechnica, Marinelli observó las líneas que impulsan la agricultura mundial</w:t>
      </w:r>
      <w:r>
        <w:rPr>
          <w:rFonts w:eastAsia="Times New Roman" w:cstheme="minorHAnsi"/>
          <w:kern w:val="0"/>
          <w:lang w:val="es-419"/>
          <w14:ligatures w14:val="none"/>
        </w:rPr>
        <w:t>, tales como: la e</w:t>
      </w:r>
      <w:r w:rsidRPr="00466463">
        <w:rPr>
          <w:rFonts w:eastAsia="Times New Roman" w:cstheme="minorHAnsi"/>
          <w:kern w:val="0"/>
          <w14:ligatures w14:val="none"/>
        </w:rPr>
        <w:t>lectrificación e hibridación de maquinaria</w:t>
      </w:r>
      <w:r w:rsidRPr="00466463">
        <w:rPr>
          <w:rFonts w:eastAsia="Times New Roman" w:cstheme="minorHAnsi"/>
          <w:kern w:val="0"/>
          <w:lang w:val="es-419"/>
          <w14:ligatures w14:val="none"/>
        </w:rPr>
        <w:t xml:space="preserve">; </w:t>
      </w:r>
      <w:r>
        <w:rPr>
          <w:rFonts w:eastAsia="Times New Roman" w:cstheme="minorHAnsi"/>
          <w:kern w:val="0"/>
          <w:lang w:val="es-419"/>
          <w14:ligatures w14:val="none"/>
        </w:rPr>
        <w:t>r</w:t>
      </w:r>
      <w:r w:rsidRPr="00466463">
        <w:rPr>
          <w:rFonts w:eastAsia="Times New Roman" w:cstheme="minorHAnsi"/>
          <w:kern w:val="0"/>
          <w14:ligatures w14:val="none"/>
        </w:rPr>
        <w:t>obótica pesada y ligera para diversas tareas</w:t>
      </w:r>
      <w:r w:rsidRPr="00466463">
        <w:rPr>
          <w:rFonts w:eastAsia="Times New Roman" w:cstheme="minorHAnsi"/>
          <w:kern w:val="0"/>
          <w:lang w:val="es-419"/>
          <w14:ligatures w14:val="none"/>
        </w:rPr>
        <w:t xml:space="preserve">; </w:t>
      </w:r>
      <w:r>
        <w:rPr>
          <w:rFonts w:eastAsia="Times New Roman" w:cstheme="minorHAnsi"/>
          <w:kern w:val="0"/>
          <w:lang w:val="es-419"/>
          <w14:ligatures w14:val="none"/>
        </w:rPr>
        <w:t>la a</w:t>
      </w:r>
      <w:r w:rsidRPr="00466463">
        <w:rPr>
          <w:rFonts w:eastAsia="Times New Roman" w:cstheme="minorHAnsi"/>
          <w:kern w:val="0"/>
          <w14:ligatures w14:val="none"/>
        </w:rPr>
        <w:t>utomatización integrada a tractores y equipos autónomos</w:t>
      </w:r>
      <w:r w:rsidRPr="00466463">
        <w:rPr>
          <w:rFonts w:eastAsia="Times New Roman" w:cstheme="minorHAnsi"/>
          <w:kern w:val="0"/>
          <w:lang w:val="es-419"/>
          <w14:ligatures w14:val="none"/>
        </w:rPr>
        <w:t xml:space="preserve">; </w:t>
      </w:r>
      <w:r>
        <w:rPr>
          <w:rFonts w:eastAsia="Times New Roman" w:cstheme="minorHAnsi"/>
          <w:kern w:val="0"/>
          <w:lang w:val="es-419"/>
          <w14:ligatures w14:val="none"/>
        </w:rPr>
        <w:t xml:space="preserve">y, por último, la </w:t>
      </w:r>
      <w:r w:rsidRPr="00466463">
        <w:rPr>
          <w:rFonts w:eastAsia="Times New Roman" w:cstheme="minorHAnsi"/>
          <w:kern w:val="0"/>
          <w14:ligatures w14:val="none"/>
        </w:rPr>
        <w:t>Inteligencia artificial aplicada a la operación en campo</w:t>
      </w:r>
      <w:r w:rsidRPr="00466463">
        <w:rPr>
          <w:rFonts w:eastAsia="Times New Roman" w:cstheme="minorHAnsi"/>
          <w:kern w:val="0"/>
          <w:lang w:val="es-419"/>
          <w14:ligatures w14:val="none"/>
        </w:rPr>
        <w:t>.</w:t>
      </w:r>
      <w:r>
        <w:rPr>
          <w:rFonts w:eastAsia="Times New Roman" w:cstheme="minorHAnsi"/>
          <w:b/>
          <w:bCs/>
          <w:kern w:val="0"/>
          <w:lang w:val="es-419"/>
          <w14:ligatures w14:val="none"/>
        </w:rPr>
        <w:t xml:space="preserve"> </w:t>
      </w:r>
    </w:p>
    <w:p w14:paraId="2A400037" w14:textId="701AB7A2" w:rsidR="00466463" w:rsidRPr="00466463" w:rsidRDefault="00466463" w:rsidP="00466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5E606E">
        <w:rPr>
          <w:rFonts w:eastAsia="Times New Roman" w:cstheme="minorHAnsi"/>
          <w:kern w:val="0"/>
          <w14:ligatures w14:val="none"/>
        </w:rPr>
        <w:t>Según</w:t>
      </w:r>
      <w:r w:rsidR="002A6D36" w:rsidRPr="005E606E">
        <w:rPr>
          <w:rFonts w:eastAsia="Times New Roman" w:cstheme="minorHAnsi"/>
          <w:kern w:val="0"/>
          <w14:ligatures w14:val="none"/>
        </w:rPr>
        <w:t xml:space="preserve"> el joven</w:t>
      </w:r>
      <w:r w:rsidRPr="005E606E">
        <w:rPr>
          <w:rFonts w:eastAsia="Times New Roman" w:cstheme="minorHAnsi"/>
          <w:kern w:val="0"/>
          <w:lang w:val="es-419"/>
          <w14:ligatures w14:val="none"/>
        </w:rPr>
        <w:t xml:space="preserve">, </w:t>
      </w:r>
      <w:r w:rsidRPr="005E606E">
        <w:rPr>
          <w:rFonts w:eastAsia="Times New Roman" w:cstheme="minorHAnsi"/>
          <w:i/>
          <w:iCs/>
          <w:kern w:val="0"/>
          <w14:ligatures w14:val="none"/>
        </w:rPr>
        <w:t>“</w:t>
      </w:r>
      <w:r w:rsidRPr="00466463">
        <w:rPr>
          <w:rFonts w:eastAsia="Times New Roman" w:cstheme="minorHAnsi"/>
          <w:i/>
          <w:iCs/>
          <w:kern w:val="0"/>
          <w14:ligatures w14:val="none"/>
        </w:rPr>
        <w:t xml:space="preserve">La apuesta a la robótica fue muy fuerte. Vimos robots pesados para esta región, robots más pequeños y tractores autónomos de gran porte. También sistemas eléctricos que marcarán parte del futuro cercano. Es un mundo que evoluciona rápido, y Argentina </w:t>
      </w:r>
      <w:r w:rsidR="00C05975">
        <w:rPr>
          <w:rFonts w:eastAsia="Times New Roman" w:cstheme="minorHAnsi"/>
          <w:i/>
          <w:iCs/>
          <w:kern w:val="0"/>
          <w14:ligatures w14:val="none"/>
        </w:rPr>
        <w:t xml:space="preserve">es </w:t>
      </w:r>
      <w:r w:rsidRPr="00466463">
        <w:rPr>
          <w:rFonts w:eastAsia="Times New Roman" w:cstheme="minorHAnsi"/>
          <w:i/>
          <w:iCs/>
          <w:kern w:val="0"/>
          <w14:ligatures w14:val="none"/>
        </w:rPr>
        <w:t>parte de esa transformación”.</w:t>
      </w:r>
    </w:p>
    <w:p w14:paraId="44A50012" w14:textId="77777777" w:rsidR="00E40293" w:rsidRPr="00466463" w:rsidRDefault="00E40293" w:rsidP="00E40293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66463">
        <w:rPr>
          <w:rFonts w:eastAsia="Times New Roman" w:cstheme="minorHAnsi"/>
          <w:b/>
          <w:bCs/>
          <w:kern w:val="0"/>
          <w14:ligatures w14:val="none"/>
        </w:rPr>
        <w:t>Premio Ternium Expoagro: la plataforma que impulsa al futuro</w:t>
      </w:r>
    </w:p>
    <w:p w14:paraId="17525B97" w14:textId="6C5EA053" w:rsidR="00466463" w:rsidRPr="00466463" w:rsidRDefault="00466463" w:rsidP="006635FF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t>La presencia argentina, tanto dentro como fuera del Pabellón Nacional, llamó la atención de visitantes y especialistas:</w:t>
      </w:r>
      <w:r w:rsidR="006635FF">
        <w:rPr>
          <w:rFonts w:eastAsia="Times New Roman" w:cstheme="minorHAnsi"/>
          <w:kern w:val="0"/>
          <w14:ligatures w14:val="none"/>
        </w:rPr>
        <w:t xml:space="preserve"> </w:t>
      </w:r>
      <w:r w:rsidRPr="00466463">
        <w:rPr>
          <w:rFonts w:eastAsia="Times New Roman" w:cstheme="minorHAnsi"/>
          <w:i/>
          <w:iCs/>
          <w:kern w:val="0"/>
          <w14:ligatures w14:val="none"/>
        </w:rPr>
        <w:t>“Mucha gente estaba asombrada de cómo las empresas argentinas se están involucrando. No solo mostramos fierro: mostramos know-how, inteligencia artificial, robótica y desarrollo propio. Eso impactó mucho”</w:t>
      </w:r>
      <w:r w:rsidRPr="00466463">
        <w:rPr>
          <w:rFonts w:eastAsia="Times New Roman" w:cstheme="minorHAnsi"/>
          <w:kern w:val="0"/>
          <w14:ligatures w14:val="none"/>
        </w:rPr>
        <w:t>, subrayó Marinelli.</w:t>
      </w:r>
    </w:p>
    <w:p w14:paraId="2494DD0A" w14:textId="4B5DE87B" w:rsidR="00466463" w:rsidRPr="00466463" w:rsidRDefault="00E40293" w:rsidP="00E40293">
      <w:pPr>
        <w:spacing w:before="100" w:beforeAutospacing="1" w:after="100" w:afterAutospacing="1" w:line="276" w:lineRule="auto"/>
        <w:rPr>
          <w:rFonts w:eastAsia="Times New Roman" w:cstheme="minorHAnsi"/>
          <w:kern w:val="0"/>
          <w14:ligatures w14:val="none"/>
        </w:rPr>
      </w:pPr>
      <w:r w:rsidRPr="00E40293">
        <w:rPr>
          <w:rFonts w:ascii="Calibri" w:eastAsia="Times New Roman" w:hAnsi="Calibri" w:cs="Calibri"/>
          <w:kern w:val="0"/>
          <w14:ligatures w14:val="none"/>
        </w:rPr>
        <w:t>La edición número 9 del Premio Ternium Expoagro consolidó su rol como plataforma de innovación. Entre 41 desarrollos presentados, solo 16 fueron distinguidos por un jurado de especialistas nacionales e internacionales.</w:t>
      </w:r>
      <w:r w:rsidR="00466463" w:rsidRPr="00466463">
        <w:rPr>
          <w:rFonts w:eastAsia="Times New Roman" w:cstheme="minorHAnsi"/>
          <w:kern w:val="0"/>
          <w14:ligatures w14:val="none"/>
        </w:rPr>
        <w:br/>
        <w:t>En esa selección rigurosa se destacó Marinelli Technology, cuyo avance tecnológico fue considerado un aporte directo para un agro más eficiente, sustentable y competitivo.</w:t>
      </w:r>
    </w:p>
    <w:p w14:paraId="28F403FB" w14:textId="266CA5D2" w:rsidR="00A65E2E" w:rsidRPr="00B21F0F" w:rsidRDefault="00466463" w:rsidP="00B21F0F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466463">
        <w:rPr>
          <w:rFonts w:eastAsia="Times New Roman" w:cstheme="minorHAnsi"/>
          <w:kern w:val="0"/>
          <w14:ligatures w14:val="none"/>
        </w:rPr>
        <w:lastRenderedPageBreak/>
        <w:t xml:space="preserve">La colaboración entre </w:t>
      </w:r>
      <w:r w:rsidRPr="00466463">
        <w:rPr>
          <w:rFonts w:eastAsia="Times New Roman" w:cstheme="minorHAnsi"/>
          <w:b/>
          <w:bCs/>
          <w:kern w:val="0"/>
          <w14:ligatures w14:val="none"/>
        </w:rPr>
        <w:t>Ternium, Expoagro y la DLG</w:t>
      </w:r>
      <w:r w:rsidRPr="00466463">
        <w:rPr>
          <w:rFonts w:eastAsia="Times New Roman" w:cstheme="minorHAnsi"/>
          <w:kern w:val="0"/>
          <w14:ligatures w14:val="none"/>
        </w:rPr>
        <w:t xml:space="preserve"> continúa fortaleciendo un puente valioso: aquel que conecta el talento argentino con el mundo.</w:t>
      </w:r>
      <w:r w:rsidR="006635FF">
        <w:rPr>
          <w:rFonts w:eastAsia="Times New Roman" w:cstheme="minorHAnsi"/>
          <w:kern w:val="0"/>
          <w14:ligatures w14:val="none"/>
        </w:rPr>
        <w:t xml:space="preserve"> </w:t>
      </w:r>
      <w:r w:rsidRPr="00466463">
        <w:rPr>
          <w:rFonts w:eastAsia="Times New Roman" w:cstheme="minorHAnsi"/>
          <w:kern w:val="0"/>
          <w14:ligatures w14:val="none"/>
        </w:rPr>
        <w:t>Y Marinelli Technology</w:t>
      </w:r>
      <w:r w:rsidR="006635FF">
        <w:rPr>
          <w:rFonts w:eastAsia="Times New Roman" w:cstheme="minorHAnsi"/>
          <w:kern w:val="0"/>
          <w14:ligatures w14:val="none"/>
        </w:rPr>
        <w:t xml:space="preserve">, </w:t>
      </w:r>
      <w:r w:rsidRPr="00466463">
        <w:rPr>
          <w:rFonts w:eastAsia="Times New Roman" w:cstheme="minorHAnsi"/>
          <w:kern w:val="0"/>
          <w14:ligatures w14:val="none"/>
        </w:rPr>
        <w:t>es un claro ejemplo de ello.</w:t>
      </w:r>
    </w:p>
    <w:sectPr w:rsidR="00A65E2E" w:rsidRPr="00B21F0F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14ED" w14:textId="77777777" w:rsidR="00FB4177" w:rsidRDefault="00FB4177" w:rsidP="00E728E0">
      <w:pPr>
        <w:spacing w:after="0" w:line="240" w:lineRule="auto"/>
      </w:pPr>
      <w:r>
        <w:separator/>
      </w:r>
    </w:p>
  </w:endnote>
  <w:endnote w:type="continuationSeparator" w:id="0">
    <w:p w14:paraId="55CEA99D" w14:textId="77777777" w:rsidR="00FB4177" w:rsidRDefault="00FB4177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639C" w14:textId="77777777" w:rsidR="00FB4177" w:rsidRDefault="00FB4177" w:rsidP="00E728E0">
      <w:pPr>
        <w:spacing w:after="0" w:line="240" w:lineRule="auto"/>
      </w:pPr>
      <w:r>
        <w:separator/>
      </w:r>
    </w:p>
  </w:footnote>
  <w:footnote w:type="continuationSeparator" w:id="0">
    <w:p w14:paraId="7B750E7C" w14:textId="77777777" w:rsidR="00FB4177" w:rsidRDefault="00FB4177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7AF4"/>
    <w:multiLevelType w:val="multilevel"/>
    <w:tmpl w:val="6D8A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B76FB"/>
    <w:multiLevelType w:val="multilevel"/>
    <w:tmpl w:val="786E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A6D36"/>
    <w:rsid w:val="002C66C2"/>
    <w:rsid w:val="00304E8C"/>
    <w:rsid w:val="003066A3"/>
    <w:rsid w:val="003469FF"/>
    <w:rsid w:val="0042338E"/>
    <w:rsid w:val="00437F88"/>
    <w:rsid w:val="00466463"/>
    <w:rsid w:val="0055777F"/>
    <w:rsid w:val="0059438F"/>
    <w:rsid w:val="005E606E"/>
    <w:rsid w:val="00602EFE"/>
    <w:rsid w:val="00641EC9"/>
    <w:rsid w:val="0065522B"/>
    <w:rsid w:val="006635FF"/>
    <w:rsid w:val="00683943"/>
    <w:rsid w:val="00697E80"/>
    <w:rsid w:val="006A7773"/>
    <w:rsid w:val="006B2CCA"/>
    <w:rsid w:val="0070311E"/>
    <w:rsid w:val="0072137A"/>
    <w:rsid w:val="00731A0B"/>
    <w:rsid w:val="00766C38"/>
    <w:rsid w:val="007879C7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97DED"/>
    <w:rsid w:val="009A746C"/>
    <w:rsid w:val="00A14CED"/>
    <w:rsid w:val="00A650F7"/>
    <w:rsid w:val="00A65E2E"/>
    <w:rsid w:val="00A715CA"/>
    <w:rsid w:val="00B21F0F"/>
    <w:rsid w:val="00B35D79"/>
    <w:rsid w:val="00C05975"/>
    <w:rsid w:val="00CB51FA"/>
    <w:rsid w:val="00DA1765"/>
    <w:rsid w:val="00E40293"/>
    <w:rsid w:val="00E670A8"/>
    <w:rsid w:val="00E728E0"/>
    <w:rsid w:val="00E7315D"/>
    <w:rsid w:val="00ED36B6"/>
    <w:rsid w:val="00EE74EB"/>
    <w:rsid w:val="00FA474A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466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466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664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4664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fasis">
    <w:name w:val="Emphasis"/>
    <w:basedOn w:val="Fuentedeprrafopredeter"/>
    <w:uiPriority w:val="20"/>
    <w:qFormat/>
    <w:rsid w:val="004664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2025-11-25T19:02:00Z</dcterms:created>
  <dcterms:modified xsi:type="dcterms:W3CDTF">2025-11-25T19:02:00Z</dcterms:modified>
</cp:coreProperties>
</file>