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C911C" w14:textId="77777777" w:rsidR="00C737CE" w:rsidRDefault="00C737CE" w:rsidP="00087153">
      <w:pPr>
        <w:pStyle w:val="Ttulo1"/>
        <w:keepNext w:val="0"/>
        <w:keepLines w:val="0"/>
        <w:spacing w:before="480"/>
        <w:jc w:val="center"/>
        <w:rPr>
          <w:b/>
          <w:bCs/>
          <w:sz w:val="28"/>
          <w:szCs w:val="28"/>
          <w:lang w:val="es-ES"/>
        </w:rPr>
      </w:pPr>
      <w:bookmarkStart w:id="0" w:name="_ixlfoe7ahbir"/>
      <w:bookmarkEnd w:id="0"/>
      <w:r>
        <w:rPr>
          <w:b/>
          <w:bCs/>
          <w:sz w:val="28"/>
          <w:szCs w:val="28"/>
          <w:lang w:val="es-ES"/>
        </w:rPr>
        <w:t xml:space="preserve">¿El barbecho realmente ahorra agua? Un estudio de la Red de Cultivos de Servicios de </w:t>
      </w:r>
      <w:proofErr w:type="spellStart"/>
      <w:r>
        <w:rPr>
          <w:b/>
          <w:bCs/>
          <w:sz w:val="28"/>
          <w:szCs w:val="28"/>
          <w:lang w:val="es-ES"/>
        </w:rPr>
        <w:t>Aapresid</w:t>
      </w:r>
      <w:proofErr w:type="spellEnd"/>
      <w:r>
        <w:rPr>
          <w:b/>
          <w:bCs/>
          <w:sz w:val="28"/>
          <w:szCs w:val="28"/>
          <w:lang w:val="es-ES"/>
        </w:rPr>
        <w:t xml:space="preserve"> derriba el mito</w:t>
      </w:r>
    </w:p>
    <w:p w14:paraId="4D07C6B9" w14:textId="77777777" w:rsidR="00C737CE" w:rsidRDefault="00674BD1" w:rsidP="00087153">
      <w:pPr>
        <w:jc w:val="center"/>
        <w:rPr>
          <w:lang w:val="es-ES"/>
        </w:rPr>
      </w:pPr>
      <w:hyperlink r:id="rId7" w:history="1">
        <w:r w:rsidR="00C737CE">
          <w:rPr>
            <w:rStyle w:val="Hipervnculo"/>
            <w:color w:val="1155CC"/>
            <w:lang w:val="es-ES"/>
          </w:rPr>
          <w:t>FOTO</w:t>
        </w:r>
      </w:hyperlink>
    </w:p>
    <w:p w14:paraId="3E5F8218" w14:textId="77777777" w:rsidR="00C737CE" w:rsidRDefault="00C737CE" w:rsidP="00087153">
      <w:pPr>
        <w:spacing w:before="240" w:after="240"/>
        <w:jc w:val="center"/>
        <w:rPr>
          <w:lang w:val="es-ES"/>
        </w:rPr>
      </w:pPr>
      <w:r>
        <w:rPr>
          <w:lang w:val="es-ES"/>
        </w:rPr>
        <w:t xml:space="preserve">El barbecho fue considerado históricamente la práctica indiscutible y estratégica para "guardar" agua en el perfil para el cultivo estival posterior. Sin embargo, un reciente </w:t>
      </w:r>
      <w:hyperlink r:id="rId8" w:history="1">
        <w:r>
          <w:rPr>
            <w:rStyle w:val="Hipervnculo"/>
            <w:color w:val="1155CC"/>
            <w:lang w:val="es-ES"/>
          </w:rPr>
          <w:t xml:space="preserve">estudio científico a gran escala publicado en la prestigiosa revista internacional </w:t>
        </w:r>
      </w:hyperlink>
      <w:hyperlink r:id="rId9" w:history="1">
        <w:r>
          <w:rPr>
            <w:rStyle w:val="Hipervnculo"/>
            <w:i/>
            <w:iCs/>
            <w:color w:val="1155CC"/>
            <w:lang w:val="es-ES"/>
          </w:rPr>
          <w:t xml:space="preserve">Field </w:t>
        </w:r>
        <w:proofErr w:type="spellStart"/>
        <w:r>
          <w:rPr>
            <w:rStyle w:val="Hipervnculo"/>
            <w:i/>
            <w:iCs/>
            <w:color w:val="1155CC"/>
            <w:lang w:val="es-ES"/>
          </w:rPr>
          <w:t>Crop</w:t>
        </w:r>
        <w:proofErr w:type="spellEnd"/>
        <w:r>
          <w:rPr>
            <w:rStyle w:val="Hipervnculo"/>
            <w:i/>
            <w:iCs/>
            <w:color w:val="1155CC"/>
            <w:lang w:val="es-ES"/>
          </w:rPr>
          <w:t xml:space="preserve"> </w:t>
        </w:r>
        <w:proofErr w:type="spellStart"/>
        <w:r>
          <w:rPr>
            <w:rStyle w:val="Hipervnculo"/>
            <w:i/>
            <w:iCs/>
            <w:color w:val="1155CC"/>
            <w:lang w:val="es-ES"/>
          </w:rPr>
          <w:t>Research</w:t>
        </w:r>
        <w:proofErr w:type="spellEnd"/>
      </w:hyperlink>
      <w:r>
        <w:rPr>
          <w:lang w:val="es-ES"/>
        </w:rPr>
        <w:t xml:space="preserve"> viene a cuestionar este paradigma con datos contundentes obtenidos a campo.</w:t>
      </w:r>
    </w:p>
    <w:p w14:paraId="710EB938" w14:textId="77777777" w:rsidR="00C737CE" w:rsidRDefault="00C737CE" w:rsidP="00C737CE">
      <w:pPr>
        <w:spacing w:before="240" w:after="240"/>
        <w:rPr>
          <w:lang w:val="es-ES"/>
        </w:rPr>
      </w:pPr>
      <w:r>
        <w:rPr>
          <w:lang w:val="es-ES"/>
        </w:rPr>
        <w:t xml:space="preserve">El </w:t>
      </w:r>
      <w:hyperlink r:id="rId10" w:history="1">
        <w:r>
          <w:rPr>
            <w:rStyle w:val="Hipervnculo"/>
            <w:color w:val="1155CC"/>
            <w:lang w:val="es-ES"/>
          </w:rPr>
          <w:t>trabajo</w:t>
        </w:r>
      </w:hyperlink>
      <w:r>
        <w:rPr>
          <w:lang w:val="es-ES"/>
        </w:rPr>
        <w:t xml:space="preserve">, basado en la información de la </w:t>
      </w:r>
      <w:hyperlink r:id="rId11" w:history="1">
        <w:r>
          <w:rPr>
            <w:rStyle w:val="Hipervnculo"/>
            <w:b/>
            <w:bCs/>
            <w:color w:val="1155CC"/>
            <w:lang w:val="es-ES"/>
          </w:rPr>
          <w:t xml:space="preserve">Red de Cultivos de Servicios de </w:t>
        </w:r>
        <w:proofErr w:type="spellStart"/>
        <w:r>
          <w:rPr>
            <w:rStyle w:val="Hipervnculo"/>
            <w:b/>
            <w:bCs/>
            <w:color w:val="1155CC"/>
            <w:lang w:val="es-ES"/>
          </w:rPr>
          <w:t>Aapresid</w:t>
        </w:r>
        <w:proofErr w:type="spellEnd"/>
      </w:hyperlink>
      <w:r>
        <w:rPr>
          <w:b/>
          <w:bCs/>
          <w:lang w:val="es-ES"/>
        </w:rPr>
        <w:t xml:space="preserve"> y liderado por </w:t>
      </w:r>
      <w:r>
        <w:rPr>
          <w:b/>
          <w:bCs/>
          <w:color w:val="292A2E"/>
          <w:lang w:val="es-ES"/>
        </w:rPr>
        <w:t>especialistas del IFEVA, FAUBA, UNR y la Universidad de Wisconsin–Madison (USA)</w:t>
      </w:r>
      <w:r>
        <w:rPr>
          <w:lang w:val="es-ES"/>
        </w:rPr>
        <w:t xml:space="preserve">, analizó la dinámica del agua en el suelo a lo largo de </w:t>
      </w:r>
      <w:r>
        <w:rPr>
          <w:b/>
          <w:bCs/>
          <w:lang w:val="es-ES"/>
        </w:rPr>
        <w:t>6 campañas (2018-2023)</w:t>
      </w:r>
      <w:r>
        <w:rPr>
          <w:lang w:val="es-ES"/>
        </w:rPr>
        <w:t xml:space="preserve"> sobre </w:t>
      </w:r>
      <w:r>
        <w:rPr>
          <w:b/>
          <w:bCs/>
          <w:lang w:val="es-ES"/>
        </w:rPr>
        <w:t>63 sitios experimentales</w:t>
      </w:r>
      <w:r>
        <w:rPr>
          <w:lang w:val="es-ES"/>
        </w:rPr>
        <w:t xml:space="preserve"> distribuidos en </w:t>
      </w:r>
      <w:r>
        <w:rPr>
          <w:b/>
          <w:bCs/>
          <w:lang w:val="es-ES"/>
        </w:rPr>
        <w:t>5 regiones agroclimáticas</w:t>
      </w:r>
      <w:r>
        <w:rPr>
          <w:lang w:val="es-ES"/>
        </w:rPr>
        <w:t xml:space="preserve"> de Argentina.</w:t>
      </w:r>
    </w:p>
    <w:p w14:paraId="5CE485C3" w14:textId="77777777" w:rsidR="00C737CE" w:rsidRDefault="00C737CE" w:rsidP="00C737CE">
      <w:pPr>
        <w:pStyle w:val="Ttulo3"/>
        <w:keepNext w:val="0"/>
        <w:keepLines w:val="0"/>
        <w:spacing w:before="280"/>
        <w:rPr>
          <w:i/>
          <w:iCs/>
          <w:color w:val="000000"/>
          <w:sz w:val="22"/>
          <w:szCs w:val="22"/>
          <w:u w:val="single"/>
          <w:lang w:val="es-ES"/>
        </w:rPr>
      </w:pPr>
      <w:bookmarkStart w:id="1" w:name="_8lvaf2bxp6im"/>
      <w:bookmarkEnd w:id="1"/>
      <w:r>
        <w:rPr>
          <w:i/>
          <w:iCs/>
          <w:color w:val="000000"/>
          <w:sz w:val="22"/>
          <w:szCs w:val="22"/>
          <w:u w:val="single"/>
          <w:lang w:val="es-ES"/>
        </w:rPr>
        <w:t>El barbecho: una "canilla abierta" de ineficiencia</w:t>
      </w:r>
    </w:p>
    <w:p w14:paraId="45EC83C0" w14:textId="77777777" w:rsidR="00C737CE" w:rsidRDefault="00C737CE" w:rsidP="00C737CE">
      <w:pPr>
        <w:spacing w:before="240" w:after="240"/>
        <w:rPr>
          <w:b/>
          <w:bCs/>
          <w:lang w:val="es-ES"/>
        </w:rPr>
      </w:pPr>
      <w:r>
        <w:rPr>
          <w:lang w:val="es-ES"/>
        </w:rPr>
        <w:t xml:space="preserve">La principal conclusión del </w:t>
      </w:r>
      <w:hyperlink r:id="rId12" w:history="1">
        <w:r>
          <w:rPr>
            <w:rStyle w:val="Hipervnculo"/>
            <w:color w:val="1155CC"/>
            <w:lang w:val="es-ES"/>
          </w:rPr>
          <w:t xml:space="preserve">estudio </w:t>
        </w:r>
      </w:hyperlink>
      <w:r>
        <w:rPr>
          <w:lang w:val="es-ES"/>
        </w:rPr>
        <w:t xml:space="preserve">enciende una alarma sobre el manejo tradicional: </w:t>
      </w:r>
      <w:r>
        <w:rPr>
          <w:b/>
          <w:bCs/>
          <w:lang w:val="es-ES"/>
        </w:rPr>
        <w:t>el barbecho no es la mejor estrategia para acumular agua</w:t>
      </w:r>
      <w:r>
        <w:rPr>
          <w:lang w:val="es-ES"/>
        </w:rPr>
        <w:t xml:space="preserve">. Los datos demuestran que </w:t>
      </w:r>
      <w:r>
        <w:rPr>
          <w:b/>
          <w:bCs/>
          <w:lang w:val="es-ES"/>
        </w:rPr>
        <w:t xml:space="preserve">durante el período de barbecho largo se perdieron por evaporación directa y percolación profunda entre 271 y 409 mm de agua. </w:t>
      </w:r>
    </w:p>
    <w:p w14:paraId="1D872489" w14:textId="77777777" w:rsidR="00C737CE" w:rsidRDefault="00C737CE" w:rsidP="00C737CE">
      <w:pPr>
        <w:spacing w:before="240" w:after="240"/>
        <w:rPr>
          <w:lang w:val="es-ES"/>
        </w:rPr>
      </w:pPr>
      <w:r>
        <w:rPr>
          <w:lang w:val="es-ES"/>
        </w:rPr>
        <w:t>Esto significa que una enorme porción del agua de lluvia ofertada durante el invierno se pierde sin ser aprovechada por ningún cultivo, funcionando el suelo de manera sumamente ineficiente.</w:t>
      </w:r>
    </w:p>
    <w:p w14:paraId="64914FB1" w14:textId="77777777" w:rsidR="00C737CE" w:rsidRDefault="00C737CE" w:rsidP="00C737CE">
      <w:pPr>
        <w:pStyle w:val="Ttulo3"/>
        <w:keepNext w:val="0"/>
        <w:keepLines w:val="0"/>
        <w:spacing w:before="280"/>
        <w:rPr>
          <w:i/>
          <w:iCs/>
          <w:color w:val="000000"/>
          <w:sz w:val="22"/>
          <w:szCs w:val="22"/>
          <w:u w:val="single"/>
          <w:lang w:val="es-ES"/>
        </w:rPr>
      </w:pPr>
      <w:bookmarkStart w:id="2" w:name="_3m4gc1g6dth"/>
      <w:bookmarkEnd w:id="2"/>
      <w:r>
        <w:rPr>
          <w:i/>
          <w:iCs/>
          <w:color w:val="000000"/>
          <w:sz w:val="22"/>
          <w:szCs w:val="22"/>
          <w:u w:val="single"/>
          <w:lang w:val="es-ES"/>
        </w:rPr>
        <w:t>Cultivos de Servicios: ¿Consumo o inversión?</w:t>
      </w:r>
    </w:p>
    <w:p w14:paraId="35AB34C9" w14:textId="77777777" w:rsidR="00C737CE" w:rsidRDefault="00C737CE" w:rsidP="00C737CE">
      <w:pPr>
        <w:spacing w:before="240" w:after="240"/>
        <w:rPr>
          <w:lang w:val="es-ES"/>
        </w:rPr>
      </w:pPr>
      <w:r>
        <w:rPr>
          <w:lang w:val="es-ES"/>
        </w:rPr>
        <w:t xml:space="preserve">El </w:t>
      </w:r>
      <w:hyperlink r:id="rId13" w:history="1">
        <w:r>
          <w:rPr>
            <w:rStyle w:val="Hipervnculo"/>
            <w:color w:val="1155CC"/>
            <w:lang w:val="es-ES"/>
          </w:rPr>
          <w:t xml:space="preserve">estudio </w:t>
        </w:r>
      </w:hyperlink>
      <w:r>
        <w:rPr>
          <w:lang w:val="es-ES"/>
        </w:rPr>
        <w:t>comparó la performance de este barbecho tradicional frente a diferentes opciones de Cultivos de Servicios (CS), evaluando el comportamiento de gramíneas, leguminosas, crucíferas y mezclas.</w:t>
      </w:r>
    </w:p>
    <w:p w14:paraId="0414C3B0" w14:textId="77777777" w:rsidR="00C737CE" w:rsidRDefault="00C737CE" w:rsidP="00C737CE">
      <w:pPr>
        <w:spacing w:before="240" w:after="240"/>
        <w:rPr>
          <w:lang w:val="es-ES"/>
        </w:rPr>
      </w:pPr>
      <w:r>
        <w:rPr>
          <w:b/>
          <w:bCs/>
          <w:lang w:val="es-ES"/>
        </w:rPr>
        <w:t>Si bien al momento de su terminación, los CS consumieron en promedio un 25% más de agua que un barbecho largo, al momento de sembrar el cultivo estival, la disponibilidad hídrica fue similar entre ambos sistemas</w:t>
      </w:r>
      <w:r>
        <w:rPr>
          <w:lang w:val="es-ES"/>
        </w:rPr>
        <w:t xml:space="preserve">, para la mayoría de las regiones. </w:t>
      </w:r>
    </w:p>
    <w:p w14:paraId="2BA3E10C" w14:textId="77777777" w:rsidR="00C737CE" w:rsidRDefault="00C737CE" w:rsidP="00C737CE">
      <w:pPr>
        <w:spacing w:before="240" w:after="240"/>
        <w:rPr>
          <w:b/>
          <w:bCs/>
          <w:lang w:val="es-ES"/>
        </w:rPr>
      </w:pPr>
      <w:r>
        <w:rPr>
          <w:lang w:val="es-ES"/>
        </w:rPr>
        <w:t xml:space="preserve">Asimismo, el </w:t>
      </w:r>
      <w:hyperlink r:id="rId14" w:history="1">
        <w:r>
          <w:rPr>
            <w:rStyle w:val="Hipervnculo"/>
            <w:color w:val="1155CC"/>
            <w:lang w:val="es-ES"/>
          </w:rPr>
          <w:t xml:space="preserve">estudio </w:t>
        </w:r>
      </w:hyperlink>
      <w:r>
        <w:rPr>
          <w:lang w:val="es-ES"/>
        </w:rPr>
        <w:t xml:space="preserve">confirma que </w:t>
      </w:r>
      <w:r>
        <w:rPr>
          <w:b/>
          <w:bCs/>
          <w:lang w:val="es-ES"/>
        </w:rPr>
        <w:t>las lluvias ocurridas entre la terminación del CS y la siembra del estival son las que más explican las diferencias en el agua disponible para este último.</w:t>
      </w:r>
    </w:p>
    <w:p w14:paraId="48FD6658" w14:textId="77777777" w:rsidR="00C737CE" w:rsidRDefault="00C737CE" w:rsidP="00C737CE">
      <w:pPr>
        <w:spacing w:before="240" w:after="240"/>
        <w:rPr>
          <w:lang w:val="es-ES"/>
        </w:rPr>
      </w:pPr>
      <w:r>
        <w:rPr>
          <w:lang w:val="es-ES"/>
        </w:rPr>
        <w:t xml:space="preserve">Por otro lado, la investigación demostró que </w:t>
      </w:r>
      <w:r>
        <w:rPr>
          <w:b/>
          <w:bCs/>
          <w:lang w:val="es-ES"/>
        </w:rPr>
        <w:t>los cultivos de servicios transforman la pérdida pasiva (evaporación y percolación) en transpiración productiva</w:t>
      </w:r>
      <w:r>
        <w:rPr>
          <w:lang w:val="es-ES"/>
        </w:rPr>
        <w:t>, mejorando la estructura del suelo, la infiltración y el control de malezas. Así, el consumo del cultivo se ve compensado por una mayor eficiencia general del sistema.</w:t>
      </w:r>
    </w:p>
    <w:p w14:paraId="3C4C27C5" w14:textId="77777777" w:rsidR="00C737CE" w:rsidRDefault="00C737CE" w:rsidP="00C737CE">
      <w:pPr>
        <w:spacing w:before="240" w:after="240"/>
        <w:rPr>
          <w:lang w:val="es-ES"/>
        </w:rPr>
      </w:pPr>
    </w:p>
    <w:p w14:paraId="509E7653" w14:textId="77777777" w:rsidR="00C737CE" w:rsidRDefault="00C737CE" w:rsidP="00C737CE">
      <w:pPr>
        <w:spacing w:before="240" w:after="240"/>
        <w:rPr>
          <w:i/>
          <w:iCs/>
          <w:u w:val="single"/>
          <w:lang w:val="es-ES"/>
        </w:rPr>
      </w:pPr>
      <w:r>
        <w:rPr>
          <w:i/>
          <w:iCs/>
          <w:u w:val="single"/>
          <w:lang w:val="es-ES"/>
        </w:rPr>
        <w:lastRenderedPageBreak/>
        <w:t>El fantasma del “costo hídrico”</w:t>
      </w:r>
    </w:p>
    <w:p w14:paraId="6A2E2C1C" w14:textId="77777777" w:rsidR="00C737CE" w:rsidRDefault="00C737CE" w:rsidP="00C737CE">
      <w:pPr>
        <w:spacing w:before="240" w:after="240"/>
        <w:rPr>
          <w:lang w:val="es-ES"/>
        </w:rPr>
      </w:pPr>
      <w:r>
        <w:rPr>
          <w:lang w:val="es-ES"/>
        </w:rPr>
        <w:t xml:space="preserve">Uno de los mayores temores del productor al incorporar cultivos de servicios es el posible "costo hídrico" que afecte el rendimiento de cultivos de grano subsiguientes. </w:t>
      </w:r>
    </w:p>
    <w:p w14:paraId="085F25D6" w14:textId="77777777" w:rsidR="00C737CE" w:rsidRDefault="00C737CE" w:rsidP="00C737CE">
      <w:pPr>
        <w:spacing w:before="240" w:after="240"/>
        <w:rPr>
          <w:lang w:val="es-ES"/>
        </w:rPr>
      </w:pPr>
      <w:r>
        <w:rPr>
          <w:lang w:val="es-ES"/>
        </w:rPr>
        <w:t xml:space="preserve">El </w:t>
      </w:r>
      <w:hyperlink r:id="rId15" w:history="1">
        <w:r>
          <w:rPr>
            <w:rStyle w:val="Hipervnculo"/>
            <w:color w:val="1155CC"/>
            <w:lang w:val="es-ES"/>
          </w:rPr>
          <w:t xml:space="preserve">análisis </w:t>
        </w:r>
      </w:hyperlink>
      <w:r>
        <w:rPr>
          <w:lang w:val="es-ES"/>
        </w:rPr>
        <w:t xml:space="preserve">demostró que, mediante un manejo correcto del momento de secado de los CS y dependiendo de las recargas hídricas primaverales, </w:t>
      </w:r>
      <w:proofErr w:type="gramStart"/>
      <w:r>
        <w:rPr>
          <w:b/>
          <w:bCs/>
          <w:lang w:val="es-ES"/>
        </w:rPr>
        <w:t>la penalización de los rindes de los cultivos posteriores son</w:t>
      </w:r>
      <w:proofErr w:type="gramEnd"/>
      <w:r>
        <w:rPr>
          <w:b/>
          <w:bCs/>
          <w:lang w:val="es-ES"/>
        </w:rPr>
        <w:t xml:space="preserve"> mínimos o inexistentes</w:t>
      </w:r>
      <w:r>
        <w:rPr>
          <w:lang w:val="es-ES"/>
        </w:rPr>
        <w:t xml:space="preserve"> en la mayoría de las regiones.</w:t>
      </w:r>
    </w:p>
    <w:p w14:paraId="453B394A" w14:textId="77777777" w:rsidR="00C737CE" w:rsidRDefault="00C737CE" w:rsidP="00C737CE">
      <w:pPr>
        <w:spacing w:before="240" w:after="240"/>
        <w:rPr>
          <w:lang w:val="es-ES"/>
        </w:rPr>
      </w:pPr>
      <w:r>
        <w:rPr>
          <w:lang w:val="es-ES"/>
        </w:rPr>
        <w:t xml:space="preserve">Además del momento de secado y la recarga primaveral, el estudio señala que </w:t>
      </w:r>
      <w:r>
        <w:rPr>
          <w:b/>
          <w:bCs/>
          <w:lang w:val="es-ES"/>
        </w:rPr>
        <w:t>otro factor clave a la hora de pensar el rinde del cultivo estival, es la especie de cultivo de servicios elegida</w:t>
      </w:r>
      <w:r>
        <w:rPr>
          <w:lang w:val="es-ES"/>
        </w:rPr>
        <w:t>.</w:t>
      </w:r>
    </w:p>
    <w:p w14:paraId="0C11AEB7" w14:textId="77777777" w:rsidR="00C737CE" w:rsidRDefault="00C737CE" w:rsidP="00C737CE">
      <w:pPr>
        <w:spacing w:before="240" w:after="240"/>
        <w:rPr>
          <w:lang w:val="es-ES"/>
        </w:rPr>
      </w:pPr>
      <w:r>
        <w:rPr>
          <w:lang w:val="es-ES"/>
        </w:rPr>
        <w:t xml:space="preserve">Por ejemplo, las gramíneas redujeron el rinde de maíces posteriores cuando su consumo de agua no logró recuperarse entre el secado del CS y la siembra del cultivo estival. Por el contrario, </w:t>
      </w:r>
      <w:r>
        <w:rPr>
          <w:b/>
          <w:bCs/>
          <w:lang w:val="es-ES"/>
        </w:rPr>
        <w:t xml:space="preserve">CS de leguminosas incrementan los rindes del </w:t>
      </w:r>
      <w:proofErr w:type="gramStart"/>
      <w:r>
        <w:rPr>
          <w:b/>
          <w:bCs/>
          <w:lang w:val="es-ES"/>
        </w:rPr>
        <w:t>maíz ,</w:t>
      </w:r>
      <w:proofErr w:type="gramEnd"/>
      <w:r>
        <w:rPr>
          <w:b/>
          <w:bCs/>
          <w:lang w:val="es-ES"/>
        </w:rPr>
        <w:t xml:space="preserve"> incluso cuando el agua disponible era menor</w:t>
      </w:r>
      <w:r>
        <w:rPr>
          <w:lang w:val="es-ES"/>
        </w:rPr>
        <w:t>, probablemente gracias al aporte de N. En cuanto a las mezclas, estas presentaron, en general, respuestas neutras o positivas, similares a los CS de leguminosas.</w:t>
      </w:r>
    </w:p>
    <w:p w14:paraId="1D686C5D" w14:textId="77777777" w:rsidR="00C737CE" w:rsidRDefault="00C737CE" w:rsidP="00C737CE">
      <w:pPr>
        <w:spacing w:before="240" w:after="240"/>
        <w:rPr>
          <w:i/>
          <w:iCs/>
          <w:u w:val="single"/>
          <w:lang w:val="es-ES"/>
        </w:rPr>
      </w:pPr>
      <w:r>
        <w:rPr>
          <w:i/>
          <w:iCs/>
          <w:u w:val="single"/>
          <w:lang w:val="es-ES"/>
        </w:rPr>
        <w:t xml:space="preserve">Los Cultivos de servicios y su espacio exclusivo en el Congreso </w:t>
      </w:r>
      <w:proofErr w:type="spellStart"/>
      <w:r>
        <w:rPr>
          <w:i/>
          <w:iCs/>
          <w:u w:val="single"/>
          <w:lang w:val="es-ES"/>
        </w:rPr>
        <w:t>Aapresid</w:t>
      </w:r>
      <w:proofErr w:type="spellEnd"/>
    </w:p>
    <w:p w14:paraId="4A11E302" w14:textId="77777777" w:rsidR="00C737CE" w:rsidRDefault="00C737CE" w:rsidP="00C737CE">
      <w:pPr>
        <w:spacing w:before="240" w:after="240"/>
        <w:rPr>
          <w:lang w:val="es-ES"/>
        </w:rPr>
      </w:pPr>
      <w:r>
        <w:rPr>
          <w:b/>
          <w:bCs/>
          <w:lang w:val="es-ES"/>
        </w:rPr>
        <w:t>Los resultados de este estudio serán presentados por el especialista de FAUBA Gervasio Piñeiro en el marco de un bloque temático exclusivo asignado a los cultivos de servicios en el próximo</w:t>
      </w:r>
      <w:r>
        <w:rPr>
          <w:lang w:val="es-ES"/>
        </w:rPr>
        <w:t xml:space="preserve"> </w:t>
      </w:r>
      <w:hyperlink r:id="rId16" w:history="1">
        <w:r>
          <w:rPr>
            <w:rStyle w:val="Hipervnculo"/>
            <w:b/>
            <w:bCs/>
            <w:color w:val="1155CC"/>
            <w:lang w:val="es-ES"/>
          </w:rPr>
          <w:t xml:space="preserve">Congreso </w:t>
        </w:r>
        <w:proofErr w:type="spellStart"/>
        <w:r>
          <w:rPr>
            <w:rStyle w:val="Hipervnculo"/>
            <w:b/>
            <w:bCs/>
            <w:color w:val="1155CC"/>
            <w:lang w:val="es-ES"/>
          </w:rPr>
          <w:t>Aapresid</w:t>
        </w:r>
        <w:proofErr w:type="spellEnd"/>
        <w:r>
          <w:rPr>
            <w:rStyle w:val="Hipervnculo"/>
            <w:b/>
            <w:bCs/>
            <w:color w:val="1155CC"/>
            <w:lang w:val="es-ES"/>
          </w:rPr>
          <w:t>,</w:t>
        </w:r>
      </w:hyperlink>
      <w:r>
        <w:rPr>
          <w:lang w:val="es-ES"/>
        </w:rPr>
        <w:t xml:space="preserve"> con la fuerza de Expoagro, que tendrá lugar en Rosario, del 4 al 6 de agosto.</w:t>
      </w:r>
    </w:p>
    <w:p w14:paraId="2B3E988C" w14:textId="77777777" w:rsidR="00C737CE" w:rsidRDefault="00C737CE" w:rsidP="00C737CE">
      <w:pPr>
        <w:spacing w:before="240" w:after="240"/>
        <w:rPr>
          <w:lang w:val="es-ES"/>
        </w:rPr>
      </w:pPr>
      <w:r>
        <w:rPr>
          <w:b/>
          <w:bCs/>
          <w:lang w:val="es-ES"/>
        </w:rPr>
        <w:t xml:space="preserve">El bloque se desarrollará en una de las salas del Congreso y se extenderá a lo largo del miércoles 5, </w:t>
      </w:r>
      <w:r>
        <w:rPr>
          <w:lang w:val="es-ES"/>
        </w:rPr>
        <w:t xml:space="preserve">con una serie de paneles que abordarán desafíos como el </w:t>
      </w:r>
      <w:r>
        <w:rPr>
          <w:b/>
          <w:bCs/>
          <w:lang w:val="es-ES"/>
        </w:rPr>
        <w:t>pastoreo de cultivos de servicios</w:t>
      </w:r>
      <w:r>
        <w:rPr>
          <w:lang w:val="es-ES"/>
        </w:rPr>
        <w:t xml:space="preserve">, su impacto sobre </w:t>
      </w:r>
      <w:r>
        <w:rPr>
          <w:b/>
          <w:bCs/>
          <w:lang w:val="es-ES"/>
        </w:rPr>
        <w:t>poblaciones de insectos</w:t>
      </w:r>
      <w:r>
        <w:rPr>
          <w:lang w:val="es-ES"/>
        </w:rPr>
        <w:t xml:space="preserve"> y su </w:t>
      </w:r>
      <w:r>
        <w:rPr>
          <w:b/>
          <w:bCs/>
          <w:lang w:val="es-ES"/>
        </w:rPr>
        <w:t>contribución a la disponibilidad de nitrógeno en cultivos sucesores</w:t>
      </w:r>
      <w:r>
        <w:rPr>
          <w:lang w:val="es-ES"/>
        </w:rPr>
        <w:t xml:space="preserve">. </w:t>
      </w:r>
    </w:p>
    <w:p w14:paraId="1B6EFE04" w14:textId="77777777" w:rsidR="00C737CE" w:rsidRDefault="00C737CE" w:rsidP="00C737CE">
      <w:pPr>
        <w:spacing w:before="240" w:after="240"/>
        <w:rPr>
          <w:lang w:val="es-ES"/>
        </w:rPr>
      </w:pPr>
    </w:p>
    <w:p w14:paraId="0C139A0D" w14:textId="77777777" w:rsidR="00C737CE" w:rsidRDefault="00C737CE" w:rsidP="00C737CE">
      <w:pPr>
        <w:spacing w:before="240" w:after="240"/>
        <w:rPr>
          <w:lang w:val="es-ES"/>
        </w:rPr>
      </w:pPr>
    </w:p>
    <w:p w14:paraId="670999D8" w14:textId="77777777" w:rsidR="00C737CE" w:rsidRDefault="00C737CE" w:rsidP="00C737CE">
      <w:pPr>
        <w:spacing w:before="240" w:after="240"/>
        <w:rPr>
          <w:lang w:val="es-ES"/>
        </w:rPr>
      </w:pPr>
    </w:p>
    <w:p w14:paraId="765FEB5A" w14:textId="77777777" w:rsidR="00C737CE" w:rsidRDefault="00C737CE" w:rsidP="00C737CE">
      <w:pPr>
        <w:spacing w:before="240" w:after="240"/>
        <w:rPr>
          <w:lang w:val="es-ES"/>
        </w:rPr>
      </w:pPr>
    </w:p>
    <w:p w14:paraId="1CE79000" w14:textId="77777777" w:rsidR="00811F27" w:rsidRPr="00C737CE" w:rsidRDefault="00811F27">
      <w:pPr>
        <w:rPr>
          <w:rFonts w:ascii="Calibri" w:eastAsia="Times New Roman" w:hAnsi="Calibri" w:cs="Calibri"/>
          <w:b/>
          <w:bCs/>
          <w:sz w:val="28"/>
          <w:szCs w:val="28"/>
          <w:lang w:val="es-ES"/>
        </w:rPr>
      </w:pPr>
    </w:p>
    <w:p w14:paraId="57C0A88A" w14:textId="77777777" w:rsidR="003938A4" w:rsidRPr="003938A4" w:rsidRDefault="003938A4">
      <w:pPr>
        <w:rPr>
          <w:lang w:val="es-ES"/>
        </w:rPr>
      </w:pPr>
    </w:p>
    <w:sectPr w:rsidR="003938A4" w:rsidRPr="003938A4">
      <w:headerReference w:type="default" r:id="rId17"/>
      <w:footerReference w:type="default" r:id="rId1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6CEFE" w14:textId="77777777" w:rsidR="00674BD1" w:rsidRDefault="00674BD1">
      <w:pPr>
        <w:spacing w:line="240" w:lineRule="auto"/>
      </w:pPr>
      <w:r>
        <w:separator/>
      </w:r>
    </w:p>
  </w:endnote>
  <w:endnote w:type="continuationSeparator" w:id="0">
    <w:p w14:paraId="5EFE9C62" w14:textId="77777777" w:rsidR="00674BD1" w:rsidRDefault="00674B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033098-ADF7-4D4D-9EEE-D019D77C3C15}"/>
    <w:embedBold r:id="rId2" w:fontKey="{E0A09BE3-BA69-432A-9BDB-270B85CBC7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A3D6663-0435-4B29-B8F3-419B4ECB70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DD30A" w14:textId="77777777" w:rsidR="00144A5F" w:rsidRDefault="00144A5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C78AA" w14:textId="77777777" w:rsidR="00674BD1" w:rsidRDefault="00674BD1">
      <w:pPr>
        <w:spacing w:line="240" w:lineRule="auto"/>
      </w:pPr>
      <w:r>
        <w:separator/>
      </w:r>
    </w:p>
  </w:footnote>
  <w:footnote w:type="continuationSeparator" w:id="0">
    <w:p w14:paraId="55C52790" w14:textId="77777777" w:rsidR="00674BD1" w:rsidRDefault="00674B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DD309" w14:textId="77777777" w:rsidR="00144A5F" w:rsidRDefault="0084071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17DD30B" wp14:editId="517DD30C">
          <wp:simplePos x="0" y="0"/>
          <wp:positionH relativeFrom="page">
            <wp:posOffset>-9524</wp:posOffset>
          </wp:positionH>
          <wp:positionV relativeFrom="page">
            <wp:posOffset>-47624</wp:posOffset>
          </wp:positionV>
          <wp:extent cx="7605713" cy="914741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5713" cy="9147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06DEE"/>
    <w:multiLevelType w:val="multilevel"/>
    <w:tmpl w:val="08449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A5F"/>
    <w:rsid w:val="00087153"/>
    <w:rsid w:val="000D503D"/>
    <w:rsid w:val="00144A5F"/>
    <w:rsid w:val="003938A4"/>
    <w:rsid w:val="00415FAB"/>
    <w:rsid w:val="00423181"/>
    <w:rsid w:val="004523D8"/>
    <w:rsid w:val="0047311C"/>
    <w:rsid w:val="004A115A"/>
    <w:rsid w:val="005C13C5"/>
    <w:rsid w:val="00646B62"/>
    <w:rsid w:val="00674BD1"/>
    <w:rsid w:val="006D0F34"/>
    <w:rsid w:val="00703A18"/>
    <w:rsid w:val="007C3464"/>
    <w:rsid w:val="00811F27"/>
    <w:rsid w:val="00840710"/>
    <w:rsid w:val="00844339"/>
    <w:rsid w:val="00900797"/>
    <w:rsid w:val="00973829"/>
    <w:rsid w:val="00A6641B"/>
    <w:rsid w:val="00A75FC7"/>
    <w:rsid w:val="00B52593"/>
    <w:rsid w:val="00C03995"/>
    <w:rsid w:val="00C737CE"/>
    <w:rsid w:val="00CB4233"/>
    <w:rsid w:val="00CB5FF3"/>
    <w:rsid w:val="00D23C7B"/>
    <w:rsid w:val="00E57058"/>
    <w:rsid w:val="00F15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DD306"/>
  <w15:docId w15:val="{4C510EBC-D0E4-43EB-9350-8AED3E653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n-001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A75F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A75FC7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C737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2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direct.com/science/article/pii/S037842902600273X?dgcid=coauthor" TargetMode="External"/><Relationship Id="rId13" Type="http://schemas.openxmlformats.org/officeDocument/2006/relationships/hyperlink" Target="https://www.sciencedirect.com/science/article/pii/S037842902600273X?dgcid=coauthor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qwDaghMpTtqorQpnELJNaA7GYBsbo2nd/view?usp=sharing" TargetMode="External"/><Relationship Id="rId12" Type="http://schemas.openxmlformats.org/officeDocument/2006/relationships/hyperlink" Target="https://www.sciencedirect.com/science/article/pii/S037842902600273X?dgcid=coauthor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congreso.aapresid.org.ar/es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apresid.org.ar/sistema-chacras/redes/red-cultivos-servicios-aapresid-bas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sciencedirect.com/science/article/pii/S037842902600273X?dgcid=coauthor" TargetMode="External"/><Relationship Id="rId10" Type="http://schemas.openxmlformats.org/officeDocument/2006/relationships/hyperlink" Target="https://www.sciencedirect.com/science/article/pii/S037842902600273X?dgcid=coauthor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sciencedirect.com/science/article/pii/S037842902600273X?dgcid=coauthor" TargetMode="External"/><Relationship Id="rId14" Type="http://schemas.openxmlformats.org/officeDocument/2006/relationships/hyperlink" Target="https://www.sciencedirect.com/science/article/pii/S037842902600273X?dgcid=coautho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757</Words>
  <Characters>4318</Characters>
  <Application>Microsoft Office Word</Application>
  <DocSecurity>0</DocSecurity>
  <Lines>35</Lines>
  <Paragraphs>10</Paragraphs>
  <ScaleCrop>false</ScaleCrop>
  <Company/>
  <LinksUpToDate>false</LinksUpToDate>
  <CharactersWithSpaces>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Quattrini</dc:creator>
  <cp:lastModifiedBy>Antonella  Schiantarelli</cp:lastModifiedBy>
  <cp:revision>3</cp:revision>
  <dcterms:created xsi:type="dcterms:W3CDTF">2026-07-20T18:28:00Z</dcterms:created>
  <dcterms:modified xsi:type="dcterms:W3CDTF">2026-07-20T18:26:00Z</dcterms:modified>
</cp:coreProperties>
</file>