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8BF2E" w14:textId="77777777" w:rsidR="001170D8" w:rsidRDefault="001170D8">
      <w:pPr>
        <w:spacing w:line="276" w:lineRule="auto"/>
        <w:jc w:val="both"/>
      </w:pPr>
    </w:p>
    <w:p w14:paraId="074B3A21" w14:textId="77777777" w:rsidR="001170D8" w:rsidRDefault="005628A9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Financiamiento en pesos y dólares, leasing y créditos prendarios: Se amplían las herramientas financieras para el agro </w:t>
      </w:r>
    </w:p>
    <w:p w14:paraId="6C01C579" w14:textId="77777777" w:rsidR="001170D8" w:rsidRDefault="005628A9">
      <w:pPr>
        <w:spacing w:line="276" w:lineRule="auto"/>
        <w:jc w:val="center"/>
        <w:rPr>
          <w:i/>
          <w:iCs/>
        </w:rPr>
      </w:pPr>
      <w:r>
        <w:rPr>
          <w:i/>
          <w:iCs/>
        </w:rPr>
        <w:t xml:space="preserve">Banco </w:t>
      </w:r>
      <w:proofErr w:type="spellStart"/>
      <w:r>
        <w:rPr>
          <w:i/>
          <w:iCs/>
        </w:rPr>
        <w:t>Comafi</w:t>
      </w:r>
      <w:proofErr w:type="spellEnd"/>
      <w:r>
        <w:rPr>
          <w:i/>
          <w:iCs/>
        </w:rPr>
        <w:t xml:space="preserve"> anunció los instrumentos que ofrecerá en </w:t>
      </w:r>
      <w:r>
        <w:rPr>
          <w:b/>
          <w:bCs/>
          <w:i/>
          <w:iCs/>
        </w:rPr>
        <w:t>Expoagro 2026</w:t>
      </w:r>
      <w:r>
        <w:rPr>
          <w:i/>
          <w:iCs/>
        </w:rPr>
        <w:t>. Las propuestas, a tono con las necesidades y tiempos del sector, incluyen también convenios para adquirir maquinaria agrícola e instrumentos del Mercado de Capitales.</w:t>
      </w:r>
    </w:p>
    <w:p w14:paraId="1B01A9B9" w14:textId="77777777" w:rsidR="001170D8" w:rsidRDefault="005628A9">
      <w:pPr>
        <w:spacing w:line="276" w:lineRule="auto"/>
        <w:jc w:val="both"/>
      </w:pPr>
      <w:r>
        <w:t xml:space="preserve">Por quinto año consecutivo, </w:t>
      </w:r>
      <w:r>
        <w:rPr>
          <w:b/>
          <w:bCs/>
        </w:rPr>
        <w:t xml:space="preserve">Banco </w:t>
      </w:r>
      <w:proofErr w:type="spellStart"/>
      <w:r>
        <w:rPr>
          <w:b/>
          <w:bCs/>
        </w:rPr>
        <w:t>Comafi</w:t>
      </w:r>
      <w:proofErr w:type="spellEnd"/>
      <w:r>
        <w:t xml:space="preserve"> será parte de la megamuestra industrial a ciel</w:t>
      </w:r>
      <w:r>
        <w:t xml:space="preserve">o abierto más grande de la región. Para la edición aniversario, la entidad privada hace valer su lema </w:t>
      </w:r>
      <w:r>
        <w:rPr>
          <w:b/>
          <w:bCs/>
        </w:rPr>
        <w:t>“Sembramos oportunidades para tu campo”</w:t>
      </w:r>
      <w:r>
        <w:t xml:space="preserve"> y prepara un amplio abanico de soluciones financieras pensadas para las necesidades de cada productor.</w:t>
      </w:r>
    </w:p>
    <w:p w14:paraId="29D8CDF0" w14:textId="77777777" w:rsidR="001170D8" w:rsidRDefault="005628A9">
      <w:pPr>
        <w:spacing w:line="276" w:lineRule="auto"/>
        <w:jc w:val="both"/>
      </w:pPr>
      <w:r>
        <w:t xml:space="preserve">Durante </w:t>
      </w:r>
      <w:r>
        <w:rPr>
          <w:b/>
          <w:bCs/>
        </w:rPr>
        <w:t>Exp</w:t>
      </w:r>
      <w:r>
        <w:rPr>
          <w:b/>
          <w:bCs/>
        </w:rPr>
        <w:t>oagro 2026 edición YPF Agro</w:t>
      </w:r>
      <w:r>
        <w:t xml:space="preserve">, que se desarrollará del 10 al 13 de marzo en el </w:t>
      </w:r>
      <w:r>
        <w:rPr>
          <w:b/>
          <w:bCs/>
        </w:rPr>
        <w:t>predio ferial y autódromo de San Nicolás</w:t>
      </w:r>
      <w:r>
        <w:t xml:space="preserve">, </w:t>
      </w:r>
      <w:proofErr w:type="spellStart"/>
      <w:r>
        <w:t>Comafi</w:t>
      </w:r>
      <w:proofErr w:type="spellEnd"/>
      <w:r>
        <w:t xml:space="preserve"> ofrecerá financiamiento en pesos y dólares, leasing 100% financiado con beneficios impositivos, y créditos prendarios en los que e</w:t>
      </w:r>
      <w:r>
        <w:t>l cliente elige monto y plazo y el bien es propio desde el inicio. También estará disponible la financiación 100% online, gestionada a través de NERA.</w:t>
      </w:r>
    </w:p>
    <w:p w14:paraId="7D613EB5" w14:textId="77777777" w:rsidR="001170D8" w:rsidRDefault="005628A9">
      <w:pPr>
        <w:spacing w:line="276" w:lineRule="auto"/>
        <w:jc w:val="both"/>
      </w:pPr>
      <w:r>
        <w:t xml:space="preserve">Es de destacar que esta firma, de capitales privados argentinos, fue la que </w:t>
      </w:r>
      <w:r>
        <w:rPr>
          <w:b/>
          <w:bCs/>
        </w:rPr>
        <w:t xml:space="preserve">introdujo en el país la </w:t>
      </w:r>
      <w:proofErr w:type="spellStart"/>
      <w:r>
        <w:rPr>
          <w:b/>
          <w:bCs/>
        </w:rPr>
        <w:t>origi</w:t>
      </w:r>
      <w:r>
        <w:rPr>
          <w:b/>
          <w:bCs/>
        </w:rPr>
        <w:t>nación</w:t>
      </w:r>
      <w:proofErr w:type="spellEnd"/>
      <w:r>
        <w:rPr>
          <w:b/>
          <w:bCs/>
        </w:rPr>
        <w:t xml:space="preserve"> de leasing</w:t>
      </w:r>
      <w:r>
        <w:t>, una forma de financiamiento popularizada en Estados Unidos y muy elegida para la adquisición de capital de trabajo, maquinarias y otras herramientas con un bajo desembolso inicial.</w:t>
      </w:r>
    </w:p>
    <w:p w14:paraId="16AFB3BF" w14:textId="77777777" w:rsidR="001170D8" w:rsidRDefault="005628A9">
      <w:pPr>
        <w:spacing w:line="276" w:lineRule="auto"/>
        <w:jc w:val="both"/>
      </w:pPr>
      <w:r>
        <w:t>Por otro lado, la banca pondrá a disposición alternativa</w:t>
      </w:r>
      <w:r>
        <w:t xml:space="preserve">s de </w:t>
      </w:r>
      <w:r>
        <w:rPr>
          <w:b/>
          <w:bCs/>
        </w:rPr>
        <w:t>Mercado de Capitale</w:t>
      </w:r>
      <w:r>
        <w:t xml:space="preserve">s, uno de los ámbitos en el que también se destaca. Según explicaron, los visitantes de </w:t>
      </w:r>
      <w:r>
        <w:rPr>
          <w:b/>
          <w:bCs/>
        </w:rPr>
        <w:t xml:space="preserve">Expoagro </w:t>
      </w:r>
      <w:r>
        <w:t xml:space="preserve">tendrán a su disposición pagarés avalados, contratos forward (NDF) y Obligaciones Negociables </w:t>
      </w:r>
      <w:proofErr w:type="spellStart"/>
      <w:r>
        <w:t>PyME</w:t>
      </w:r>
      <w:proofErr w:type="spellEnd"/>
      <w:r>
        <w:t>, con el asesoramiento de un equipo e</w:t>
      </w:r>
      <w:r>
        <w:t>xperto.</w:t>
      </w:r>
    </w:p>
    <w:p w14:paraId="6D8F61F4" w14:textId="77777777" w:rsidR="001170D8" w:rsidRDefault="005628A9">
      <w:pPr>
        <w:spacing w:line="276" w:lineRule="auto"/>
        <w:jc w:val="both"/>
        <w:rPr>
          <w:b/>
          <w:bCs/>
        </w:rPr>
      </w:pPr>
      <w:r>
        <w:t xml:space="preserve">La amplia oferta de soluciones para el sector agropecuario se completa con convenios celebrados con fabricantes y distribuidores para la </w:t>
      </w:r>
      <w:r>
        <w:rPr>
          <w:b/>
          <w:bCs/>
        </w:rPr>
        <w:t>financiación de insumos y maquinaria agrícola.</w:t>
      </w:r>
    </w:p>
    <w:p w14:paraId="30ADB6FE" w14:textId="77777777" w:rsidR="001170D8" w:rsidRDefault="005628A9">
      <w:pPr>
        <w:spacing w:line="276" w:lineRule="auto"/>
        <w:jc w:val="both"/>
      </w:pPr>
      <w:r>
        <w:rPr>
          <w:i/>
          <w:iCs/>
        </w:rPr>
        <w:t xml:space="preserve">“Desde </w:t>
      </w:r>
      <w:proofErr w:type="spellStart"/>
      <w:r>
        <w:rPr>
          <w:i/>
          <w:iCs/>
        </w:rPr>
        <w:t>Comafi</w:t>
      </w:r>
      <w:proofErr w:type="spellEnd"/>
      <w:r>
        <w:rPr>
          <w:i/>
          <w:iCs/>
        </w:rPr>
        <w:t xml:space="preserve"> continuamos acompañando al sector del agro y la in</w:t>
      </w:r>
      <w:r>
        <w:rPr>
          <w:i/>
          <w:iCs/>
        </w:rPr>
        <w:t>dustria, ofreciendo propuestas de financiación que se adapten a cada ciclo productivo y al flujo de trabajo”</w:t>
      </w:r>
      <w:r>
        <w:t xml:space="preserve">, destacó Ricardo </w:t>
      </w:r>
      <w:proofErr w:type="spellStart"/>
      <w:r>
        <w:t>Gerk</w:t>
      </w:r>
      <w:proofErr w:type="spellEnd"/>
      <w:r>
        <w:t>, Head de Banca Comercial de la firma.</w:t>
      </w:r>
    </w:p>
    <w:p w14:paraId="1351F0BD" w14:textId="77777777" w:rsidR="001170D8" w:rsidRDefault="001170D8">
      <w:pPr>
        <w:spacing w:line="276" w:lineRule="auto"/>
        <w:jc w:val="both"/>
      </w:pPr>
    </w:p>
    <w:sectPr w:rsidR="001170D8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C695" w14:textId="77777777" w:rsidR="005628A9" w:rsidRDefault="005628A9">
      <w:pPr>
        <w:spacing w:after="0" w:line="240" w:lineRule="auto"/>
      </w:pPr>
      <w:r>
        <w:separator/>
      </w:r>
    </w:p>
  </w:endnote>
  <w:endnote w:type="continuationSeparator" w:id="0">
    <w:p w14:paraId="1E8A1FE8" w14:textId="77777777" w:rsidR="005628A9" w:rsidRDefault="00562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A812DE-520B-4FFC-806A-B585F7040AD0}"/>
    <w:embedBold r:id="rId2" w:fontKey="{C71E901B-F171-478F-A8E2-E2A4233D86C4}"/>
    <w:embedItalic r:id="rId3" w:fontKey="{63E50624-F458-47C8-AD46-F3E4C38C868A}"/>
    <w:embedBoldItalic r:id="rId4" w:fontKey="{2C79106A-B557-4581-8E2E-A60882FC3FE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F5FE4F-A3FD-4EF2-8280-E6B30FFCB47D}"/>
  </w:font>
  <w:font w:name="Georgia">
    <w:panose1 w:val="02040502050405020303"/>
    <w:charset w:val="00"/>
    <w:family w:val="auto"/>
    <w:pitch w:val="default"/>
    <w:embedItalic r:id="rId6" w:fontKey="{FACB6ACA-2625-4588-A0BB-CC8B958E19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4F82B3BC-3D03-41C4-9D05-C1B7207D7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8552" w14:textId="77777777" w:rsidR="001170D8" w:rsidRDefault="005628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7CB4992D" wp14:editId="376547F0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44DBE" w14:textId="77777777" w:rsidR="005628A9" w:rsidRDefault="005628A9">
      <w:pPr>
        <w:spacing w:after="0" w:line="240" w:lineRule="auto"/>
      </w:pPr>
      <w:r>
        <w:separator/>
      </w:r>
    </w:p>
  </w:footnote>
  <w:footnote w:type="continuationSeparator" w:id="0">
    <w:p w14:paraId="080D3E7B" w14:textId="77777777" w:rsidR="005628A9" w:rsidRDefault="00562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4E96" w14:textId="77777777" w:rsidR="001170D8" w:rsidRDefault="005628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D29B8DE" wp14:editId="54A5EE52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0D8"/>
    <w:rsid w:val="001170D8"/>
    <w:rsid w:val="005628A9"/>
    <w:rsid w:val="00D5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2286"/>
  <w15:docId w15:val="{0658A95C-4677-45D1-9A56-C7B378FB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4MO27ajcOSh5k/fVMIw+dAB6Q==">CgMxLjA4AHIhMWpjcWhsbUFFcGNKUUxOaDlqcTZlWHhtR1hYVzJjYlZo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2</cp:revision>
  <dcterms:created xsi:type="dcterms:W3CDTF">2026-01-22T18:12:00Z</dcterms:created>
  <dcterms:modified xsi:type="dcterms:W3CDTF">2026-01-22T18:12:00Z</dcterms:modified>
</cp:coreProperties>
</file>