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89D1" w14:textId="77777777" w:rsidR="00BA682F" w:rsidRDefault="00BA682F" w:rsidP="00BA682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lang w:eastAsia="es-MX"/>
          <w14:ligatures w14:val="none"/>
        </w:rPr>
      </w:pPr>
    </w:p>
    <w:p w14:paraId="3C903BDE" w14:textId="008858DE" w:rsidR="00BA682F" w:rsidRPr="00BA682F" w:rsidRDefault="00BA682F" w:rsidP="00BA682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480558">
        <w:rPr>
          <w:rFonts w:eastAsia="Times New Roman" w:cstheme="minorHAnsi"/>
          <w:kern w:val="0"/>
          <w:lang w:eastAsia="es-MX"/>
          <w14:ligatures w14:val="none"/>
        </w:rPr>
        <w:br/>
      </w:r>
      <w:r w:rsidRPr="007A2F37">
        <w:rPr>
          <w:rFonts w:eastAsia="Times New Roman" w:cstheme="minorHAnsi"/>
          <w:b/>
          <w:bCs/>
          <w:kern w:val="0"/>
          <w:sz w:val="28"/>
          <w:szCs w:val="28"/>
          <w:lang w:eastAsia="es-MX"/>
          <w14:ligatures w14:val="none"/>
        </w:rPr>
        <w:t>Financiamiento, negocios y una mirada estratégica para el desarrollo del sector</w:t>
      </w:r>
    </w:p>
    <w:p w14:paraId="30653EAD" w14:textId="01D0E863" w:rsidR="00BA682F" w:rsidRPr="00BA682F" w:rsidRDefault="00BA682F" w:rsidP="00477E9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kern w:val="0"/>
          <w:lang w:eastAsia="es-MX"/>
          <w14:ligatures w14:val="none"/>
        </w:rPr>
      </w:pPr>
      <w:r w:rsidRPr="00480558"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En el marco de los 20 años de </w:t>
      </w:r>
      <w:r w:rsidRPr="00480558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>Expoagro edición YPF Agro</w:t>
      </w:r>
      <w:r w:rsidRPr="00480558"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, </w:t>
      </w:r>
      <w:r w:rsidRPr="00480558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 xml:space="preserve">ICBC </w:t>
      </w:r>
      <w:r w:rsidR="008950FB">
        <w:rPr>
          <w:rFonts w:eastAsia="Times New Roman" w:cstheme="minorHAnsi"/>
          <w:b/>
          <w:bCs/>
          <w:i/>
          <w:iCs/>
          <w:kern w:val="0"/>
          <w:lang w:eastAsia="es-MX"/>
          <w14:ligatures w14:val="none"/>
        </w:rPr>
        <w:t xml:space="preserve">Argentina </w:t>
      </w:r>
      <w:r w:rsidRPr="00480558">
        <w:rPr>
          <w:rFonts w:eastAsia="Times New Roman" w:cstheme="minorHAnsi"/>
          <w:i/>
          <w:iCs/>
          <w:kern w:val="0"/>
          <w:lang w:eastAsia="es-MX"/>
          <w14:ligatures w14:val="none"/>
        </w:rPr>
        <w:t>reafirma su compromiso de largo plazo con el agro argentino y consolida su rol como sponsor internacional de la megamuestra que se desarrollará del 10 al 13 de marzo en el predio ferial y autódromo de San Nicolás.</w:t>
      </w:r>
    </w:p>
    <w:p w14:paraId="21E15E8E" w14:textId="7548AFAC" w:rsid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Para la entidad, este aniversario no solo marca un hito para la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muestra a cielo abierto más importante del país,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 sino también para el ecosistema productivo en su conjunto. </w:t>
      </w:r>
      <w:r w:rsidRPr="00BA682F">
        <w:rPr>
          <w:rFonts w:eastAsia="Times New Roman" w:cstheme="minorHAnsi"/>
          <w:i/>
          <w:iCs/>
          <w:kern w:val="0"/>
          <w:lang w:eastAsia="es-MX"/>
          <w14:ligatures w14:val="none"/>
        </w:rPr>
        <w:t>“Es una oportunidad para seguir acompañando al productor y a las empresas en un contexto cada vez más desafiante, con soluciones financieras pensadas para la realidad del sector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>”, señal</w:t>
      </w:r>
      <w:r w:rsidR="008950FB">
        <w:rPr>
          <w:rFonts w:eastAsia="Times New Roman" w:cstheme="minorHAnsi"/>
          <w:kern w:val="0"/>
          <w:lang w:eastAsia="es-MX"/>
          <w14:ligatures w14:val="none"/>
        </w:rPr>
        <w:t>ó Agustín Ibarguren,</w:t>
      </w:r>
      <w:r w:rsidR="00C10AF6">
        <w:rPr>
          <w:rFonts w:eastAsia="Times New Roman" w:cstheme="minorHAnsi"/>
          <w:kern w:val="0"/>
          <w:lang w:eastAsia="es-MX"/>
          <w14:ligatures w14:val="none"/>
        </w:rPr>
        <w:t xml:space="preserve"> gerente de Agronegocios</w:t>
      </w:r>
      <w:r w:rsidR="007A2F37">
        <w:rPr>
          <w:rFonts w:eastAsia="Times New Roman" w:cstheme="minorHAnsi"/>
          <w:kern w:val="0"/>
          <w:lang w:eastAsia="es-MX"/>
          <w14:ligatures w14:val="none"/>
        </w:rPr>
        <w:t xml:space="preserve"> </w:t>
      </w:r>
      <w:r w:rsidR="00C10AF6" w:rsidRPr="007A2F37">
        <w:rPr>
          <w:rFonts w:eastAsia="Times New Roman" w:cstheme="minorHAnsi"/>
          <w:kern w:val="0"/>
          <w:lang w:eastAsia="es-MX"/>
          <w14:ligatures w14:val="none"/>
        </w:rPr>
        <w:t>d</w:t>
      </w:r>
      <w:r w:rsidRPr="007A2F37">
        <w:rPr>
          <w:rFonts w:eastAsia="Times New Roman" w:cstheme="minorHAnsi"/>
          <w:kern w:val="0"/>
          <w:lang w:eastAsia="es-MX"/>
          <w14:ligatures w14:val="none"/>
        </w:rPr>
        <w:t>el banco.</w:t>
      </w:r>
    </w:p>
    <w:p w14:paraId="019A583A" w14:textId="7397AFC8" w:rsidR="00BA682F" w:rsidRP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Expoagro</w:t>
      </w:r>
      <w:r w:rsidR="00C10AF6">
        <w:rPr>
          <w:rFonts w:eastAsia="Times New Roman" w:cstheme="minorHAnsi"/>
          <w:b/>
          <w:bCs/>
          <w:kern w:val="0"/>
          <w:lang w:eastAsia="es-MX"/>
          <w14:ligatures w14:val="none"/>
        </w:rPr>
        <w:t>,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 </w:t>
      </w:r>
      <w:r w:rsidR="00477E98">
        <w:rPr>
          <w:rFonts w:eastAsia="Times New Roman" w:cstheme="minorHAnsi"/>
          <w:kern w:val="0"/>
          <w:lang w:eastAsia="es-MX"/>
          <w14:ligatures w14:val="none"/>
        </w:rPr>
        <w:t xml:space="preserve">que se realizará del 10 al 13 de marzo en el predio ferial y autódromo de San Nicolás, 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representa un punto estratégico dentro de la agenda anual de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ICBC,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 ya que permite el contacto directo con productores, contratistas, concesionarios y empresas de toda la cadena, comprendiendo de primera mano sus necesidades y expectativas.</w:t>
      </w:r>
    </w:p>
    <w:p w14:paraId="0E66A0B0" w14:textId="77777777" w:rsidR="00DC2AD5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Financiamiento alineado al ciclo productivo</w:t>
      </w:r>
    </w:p>
    <w:p w14:paraId="5D10B365" w14:textId="69A58831" w:rsidR="00BA682F" w:rsidRP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Con una fuerte presencia histórica en el sector,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 xml:space="preserve">ICBC </w:t>
      </w:r>
      <w:r w:rsidR="00C10AF6">
        <w:rPr>
          <w:rFonts w:eastAsia="Times New Roman" w:cstheme="minorHAnsi"/>
          <w:b/>
          <w:bCs/>
          <w:kern w:val="0"/>
          <w:lang w:eastAsia="es-MX"/>
          <w14:ligatures w14:val="none"/>
        </w:rPr>
        <w:t xml:space="preserve">Argentina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 xml:space="preserve">continuará acompañando al agro con créditos acordes al ciclo productivo y servicios diferenciales para cada segmento. </w:t>
      </w:r>
    </w:p>
    <w:p w14:paraId="211EC7AF" w14:textId="24AEB2DE" w:rsidR="00BA682F" w:rsidRPr="00BA682F" w:rsidRDefault="00BA682F" w:rsidP="0047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La propuesta incluye financiamiento de maquinaria agrícola a través de instrumentos como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 xml:space="preserve">leasing y préstamos prendarios, además del impulso a su tarjeta Visa ICBC Campo 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para la compra de insumos, con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atención y acompañamiento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 permanente a sus clientes.</w:t>
      </w:r>
    </w:p>
    <w:p w14:paraId="34DF459D" w14:textId="77777777" w:rsid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De cara a 2026, el banco prevé avanzar con nuevas soluciones financieras orientadas a mejorar la eficiencia en la gestión del capital de trabajo, agilizar procesos y facilitar la toma de decisiones comerciales.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Las novedades estarán enfocadas en ofrecer propuestas simples, competitivas y de rápida implementación, alineadas a las necesidades concretas de productores, contratistas y empresas del sector.</w:t>
      </w:r>
    </w:p>
    <w:p w14:paraId="25456AB5" w14:textId="09CB0168" w:rsidR="00C10AF6" w:rsidRDefault="00BA682F" w:rsidP="0047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Expectativas de una edición dinámica</w:t>
      </w:r>
    </w:p>
    <w:p w14:paraId="2FF5064B" w14:textId="74596A06" w:rsidR="00BA682F" w:rsidRPr="00BA682F" w:rsidRDefault="00BA682F" w:rsidP="0047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>Las expectativas para esta edición aniversario son elevadas. Desde la entidad anticipan un mayor nivel de actividad respecto de las últimas ediciones, especialmente en financiamiento de maquinaria, capital de trabajo y soluciones integrales para la cadena agroindustrial.</w:t>
      </w:r>
    </w:p>
    <w:p w14:paraId="65FF30B4" w14:textId="77777777" w:rsidR="00BA682F" w:rsidRP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lastRenderedPageBreak/>
        <w:t xml:space="preserve">En ese sentido, la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Capital Nacional de los Agronegocios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 vuelve a posicionarse como el espacio clave donde se definen gran parte de las decisiones comerciales del año, concentrando consultas, operaciones y encuentros estratégicos a lo largo de los cuatro días de la muestra.</w:t>
      </w:r>
    </w:p>
    <w:p w14:paraId="2FDC86E3" w14:textId="4C019F4A" w:rsidR="00BA682F" w:rsidRDefault="00BA682F" w:rsidP="0047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Un stand pensado para asesorar y vincular</w:t>
      </w:r>
      <w:r>
        <w:rPr>
          <w:rFonts w:eastAsia="Times New Roman" w:cstheme="minorHAnsi"/>
          <w:b/>
          <w:bCs/>
          <w:kern w:val="0"/>
          <w:lang w:eastAsia="es-MX"/>
          <w14:ligatures w14:val="none"/>
        </w:rPr>
        <w:br/>
      </w:r>
      <w:r w:rsidR="00C10AF6">
        <w:rPr>
          <w:rFonts w:eastAsia="Times New Roman" w:cstheme="minorHAnsi"/>
          <w:kern w:val="0"/>
          <w:lang w:eastAsia="es-MX"/>
          <w14:ligatures w14:val="none"/>
        </w:rPr>
        <w:t xml:space="preserve">ICBC Argentina 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estará presente con un stand renovado, que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priorizará los espacios de asesoramiento personalizado y las propuestas comerciales diseñadas especialmente para esta edición aniversario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. Además, buscará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fortalecer su rol como articulador de negocios entre Argentina y China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>, impulsando oportunidades de intercambio comercial e inversión.</w:t>
      </w:r>
    </w:p>
    <w:p w14:paraId="3FC7C141" w14:textId="73465F0C" w:rsidR="00BA682F" w:rsidRPr="00A214C8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>
        <w:rPr>
          <w:rFonts w:eastAsia="Times New Roman" w:cstheme="minorHAnsi"/>
          <w:kern w:val="0"/>
          <w:lang w:eastAsia="es-MX"/>
          <w14:ligatures w14:val="none"/>
        </w:rPr>
        <w:t xml:space="preserve">Dar facilidades a </w:t>
      </w:r>
      <w:r w:rsidRPr="00480558">
        <w:rPr>
          <w:rFonts w:eastAsia="Times New Roman" w:cstheme="minorHAnsi"/>
          <w:kern w:val="0"/>
          <w:lang w:eastAsia="es-MX"/>
          <w14:ligatures w14:val="none"/>
        </w:rPr>
        <w:t xml:space="preserve">empresas argentinas </w:t>
      </w:r>
      <w:r>
        <w:rPr>
          <w:rFonts w:eastAsia="Times New Roman" w:cstheme="minorHAnsi"/>
          <w:kern w:val="0"/>
          <w:lang w:eastAsia="es-MX"/>
          <w14:ligatures w14:val="none"/>
        </w:rPr>
        <w:t xml:space="preserve">al acceso </w:t>
      </w:r>
      <w:r w:rsidRPr="00480558">
        <w:rPr>
          <w:rFonts w:eastAsia="Times New Roman" w:cstheme="minorHAnsi"/>
          <w:kern w:val="0"/>
          <w:lang w:eastAsia="es-MX"/>
          <w14:ligatures w14:val="none"/>
        </w:rPr>
        <w:t xml:space="preserve">al mercado chino y que las compañías chinas encuentren en </w:t>
      </w:r>
      <w:r w:rsidRPr="00A214C8">
        <w:rPr>
          <w:rFonts w:eastAsia="Times New Roman" w:cstheme="minorHAnsi"/>
          <w:b/>
          <w:bCs/>
          <w:kern w:val="0"/>
          <w:lang w:eastAsia="es-MX"/>
          <w14:ligatures w14:val="none"/>
        </w:rPr>
        <w:t>Argentina un socio confiable.</w:t>
      </w:r>
    </w:p>
    <w:p w14:paraId="402B13DC" w14:textId="6DB95541" w:rsidR="00BA682F" w:rsidRP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es-MX"/>
          <w14:ligatures w14:val="none"/>
        </w:rPr>
      </w:pPr>
      <w:r>
        <w:rPr>
          <w:rFonts w:eastAsia="Times New Roman" w:cstheme="minorHAnsi"/>
          <w:kern w:val="0"/>
          <w:lang w:eastAsia="es-MX"/>
          <w14:ligatures w14:val="none"/>
        </w:rPr>
        <w:t>“</w:t>
      </w:r>
      <w:r w:rsidRPr="00480558">
        <w:rPr>
          <w:rFonts w:eastAsia="Times New Roman" w:cstheme="minorHAnsi"/>
          <w:i/>
          <w:iCs/>
          <w:kern w:val="0"/>
          <w:lang w:eastAsia="es-MX"/>
          <w14:ligatures w14:val="none"/>
        </w:rPr>
        <w:t>Esta muestra nos permite poner en valor las instancias de vinculación que venimos promoviendo entre empresarios de ambos países, con resultados muy positivos y proyectos que se siguen consolidando</w:t>
      </w:r>
      <w:r>
        <w:rPr>
          <w:rFonts w:eastAsia="Times New Roman" w:cstheme="minorHAnsi"/>
          <w:kern w:val="0"/>
          <w:lang w:eastAsia="es-MX"/>
          <w14:ligatures w14:val="none"/>
        </w:rPr>
        <w:t>”, comentaron desde ICBC.</w:t>
      </w:r>
    </w:p>
    <w:p w14:paraId="08635B45" w14:textId="77777777" w:rsidR="007A2F37" w:rsidRDefault="00BA682F" w:rsidP="0047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Tendencias que marcan el rumbo</w:t>
      </w:r>
    </w:p>
    <w:p w14:paraId="5FB7FBD1" w14:textId="66B1154F" w:rsidR="00BA682F" w:rsidRPr="00BA682F" w:rsidRDefault="00BA682F" w:rsidP="00477E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>Entre las principales tendencias que hoy atraviesan al sector agroindustrial, desde el banco destacan la digitalización y la creciente adopción de herramientas basadas en inteligencia artificial, que permiten decisiones más rápidas, eficientes y con menor riesgo operativo.</w:t>
      </w:r>
    </w:p>
    <w:p w14:paraId="30447D62" w14:textId="5EB94CBA" w:rsidR="00BA682F" w:rsidRPr="00BA682F" w:rsidRDefault="00BA682F" w:rsidP="00477E9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lang w:eastAsia="es-MX"/>
          <w14:ligatures w14:val="none"/>
        </w:rPr>
      </w:pPr>
      <w:r w:rsidRPr="00BA682F">
        <w:rPr>
          <w:rFonts w:eastAsia="Times New Roman" w:cstheme="minorHAnsi"/>
          <w:kern w:val="0"/>
          <w:lang w:eastAsia="es-MX"/>
          <w14:ligatures w14:val="none"/>
        </w:rPr>
        <w:t>A su vez</w:t>
      </w:r>
      <w:r w:rsidRPr="00BA682F">
        <w:rPr>
          <w:rFonts w:eastAsia="Times New Roman" w:cstheme="minorHAnsi"/>
          <w:i/>
          <w:iCs/>
          <w:kern w:val="0"/>
          <w:lang w:eastAsia="es-MX"/>
          <w14:ligatures w14:val="none"/>
        </w:rPr>
        <w:t>, “se observa un uso cada vez más estratégico del financiamiento, con mayor planificación de flujos de fondos, instrumentos de cobertura y soluciones adaptadas a cada etapa del ciclo productivo”</w:t>
      </w:r>
      <w:r>
        <w:rPr>
          <w:rFonts w:eastAsia="Times New Roman" w:cstheme="minorHAnsi"/>
          <w:i/>
          <w:iCs/>
          <w:kern w:val="0"/>
          <w:lang w:eastAsia="es-MX"/>
          <w14:ligatures w14:val="none"/>
        </w:rPr>
        <w:t xml:space="preserve">, 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>marcaron</w:t>
      </w:r>
      <w:r w:rsidRPr="00BA682F">
        <w:rPr>
          <w:rFonts w:eastAsia="Times New Roman" w:cstheme="minorHAnsi"/>
          <w:i/>
          <w:iCs/>
          <w:kern w:val="0"/>
          <w:lang w:eastAsia="es-MX"/>
          <w14:ligatures w14:val="none"/>
        </w:rPr>
        <w:t>.</w:t>
      </w:r>
      <w:r w:rsidRPr="00BA682F">
        <w:rPr>
          <w:rFonts w:eastAsia="Times New Roman" w:cstheme="minorHAnsi"/>
          <w:kern w:val="0"/>
          <w:lang w:eastAsia="es-MX"/>
          <w14:ligatures w14:val="none"/>
        </w:rPr>
        <w:t xml:space="preserve"> Un escenario que demanda innovación, financiamiento inteligente y alianzas estratégicas, y </w:t>
      </w:r>
      <w:r w:rsidRPr="00BA682F">
        <w:rPr>
          <w:rFonts w:eastAsia="Times New Roman" w:cstheme="minorHAnsi"/>
          <w:b/>
          <w:bCs/>
          <w:kern w:val="0"/>
          <w:lang w:eastAsia="es-MX"/>
          <w14:ligatures w14:val="none"/>
        </w:rPr>
        <w:t>donde ICBC busca seguir aportando valor para potenciar el crecimiento sostenible del agro argentino.</w:t>
      </w:r>
    </w:p>
    <w:p w14:paraId="3A92A345" w14:textId="77777777" w:rsidR="009F1887" w:rsidRPr="009F1887" w:rsidRDefault="009F1887" w:rsidP="00BA682F">
      <w:pPr>
        <w:shd w:val="clear" w:color="auto" w:fill="FFFFFF"/>
        <w:spacing w:before="200" w:after="0" w:line="240" w:lineRule="auto"/>
        <w:jc w:val="both"/>
        <w:textAlignment w:val="baseline"/>
        <w:rPr>
          <w:color w:val="000000" w:themeColor="text1"/>
        </w:rPr>
      </w:pPr>
    </w:p>
    <w:sectPr w:rsidR="009F1887" w:rsidRPr="009F1887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4FE1" w14:textId="77777777" w:rsidR="0030247F" w:rsidRDefault="0030247F" w:rsidP="00E728E0">
      <w:pPr>
        <w:spacing w:after="0" w:line="240" w:lineRule="auto"/>
      </w:pPr>
      <w:r>
        <w:separator/>
      </w:r>
    </w:p>
  </w:endnote>
  <w:endnote w:type="continuationSeparator" w:id="0">
    <w:p w14:paraId="6918AA41" w14:textId="77777777" w:rsidR="0030247F" w:rsidRDefault="0030247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E2A1" w14:textId="77777777" w:rsidR="0030247F" w:rsidRDefault="0030247F" w:rsidP="00E728E0">
      <w:pPr>
        <w:spacing w:after="0" w:line="240" w:lineRule="auto"/>
      </w:pPr>
      <w:r>
        <w:separator/>
      </w:r>
    </w:p>
  </w:footnote>
  <w:footnote w:type="continuationSeparator" w:id="0">
    <w:p w14:paraId="2531CE72" w14:textId="77777777" w:rsidR="0030247F" w:rsidRDefault="0030247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F00"/>
    <w:multiLevelType w:val="multilevel"/>
    <w:tmpl w:val="B2D40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B4B67"/>
    <w:multiLevelType w:val="multilevel"/>
    <w:tmpl w:val="DBB8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42AD6"/>
    <w:multiLevelType w:val="multilevel"/>
    <w:tmpl w:val="26120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F45F8"/>
    <w:multiLevelType w:val="multilevel"/>
    <w:tmpl w:val="E35E2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E232E"/>
    <w:multiLevelType w:val="multilevel"/>
    <w:tmpl w:val="B672E5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E15E5"/>
    <w:rsid w:val="00117812"/>
    <w:rsid w:val="002904EE"/>
    <w:rsid w:val="002C66C2"/>
    <w:rsid w:val="0030247F"/>
    <w:rsid w:val="00304E8C"/>
    <w:rsid w:val="003066A3"/>
    <w:rsid w:val="003469FF"/>
    <w:rsid w:val="0042338E"/>
    <w:rsid w:val="00437F88"/>
    <w:rsid w:val="00471CC5"/>
    <w:rsid w:val="00477E98"/>
    <w:rsid w:val="0055777F"/>
    <w:rsid w:val="0059438F"/>
    <w:rsid w:val="005C75F6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A2F37"/>
    <w:rsid w:val="007D71FA"/>
    <w:rsid w:val="007F5EAC"/>
    <w:rsid w:val="00807E2F"/>
    <w:rsid w:val="0085148C"/>
    <w:rsid w:val="008950FB"/>
    <w:rsid w:val="008D7D65"/>
    <w:rsid w:val="0091484D"/>
    <w:rsid w:val="009405AF"/>
    <w:rsid w:val="00963E1E"/>
    <w:rsid w:val="00971C66"/>
    <w:rsid w:val="00997DED"/>
    <w:rsid w:val="009F1887"/>
    <w:rsid w:val="00A14CED"/>
    <w:rsid w:val="00A650F7"/>
    <w:rsid w:val="00A65E2E"/>
    <w:rsid w:val="00A715CA"/>
    <w:rsid w:val="00B35D79"/>
    <w:rsid w:val="00BA682F"/>
    <w:rsid w:val="00C10AF6"/>
    <w:rsid w:val="00CB51FA"/>
    <w:rsid w:val="00D71235"/>
    <w:rsid w:val="00DA4329"/>
    <w:rsid w:val="00DC2AD5"/>
    <w:rsid w:val="00DD6087"/>
    <w:rsid w:val="00E370BF"/>
    <w:rsid w:val="00E670A8"/>
    <w:rsid w:val="00E728E0"/>
    <w:rsid w:val="00E7315D"/>
    <w:rsid w:val="00E77E1F"/>
    <w:rsid w:val="00ED36B6"/>
    <w:rsid w:val="00EE74EB"/>
    <w:rsid w:val="00FA474A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BA68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F1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88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BA682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Revisin">
    <w:name w:val="Revision"/>
    <w:hidden/>
    <w:uiPriority w:val="99"/>
    <w:semiHidden/>
    <w:rsid w:val="008950FB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 Schiantarelli</cp:lastModifiedBy>
  <cp:revision>3</cp:revision>
  <dcterms:created xsi:type="dcterms:W3CDTF">2026-01-08T14:15:00Z</dcterms:created>
  <dcterms:modified xsi:type="dcterms:W3CDTF">2026-01-08T14:56:00Z</dcterms:modified>
</cp:coreProperties>
</file>