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CDE0E" w14:textId="77777777" w:rsidR="009D33B0" w:rsidRPr="00712543" w:rsidRDefault="00A63C33" w:rsidP="007125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inorHAnsi" w:eastAsia="Aptos" w:hAnsiTheme="minorHAnsi" w:cstheme="minorHAnsi"/>
          <w:color w:val="000000"/>
        </w:rPr>
      </w:pPr>
      <w:r>
        <w:rPr>
          <w:rFonts w:ascii="Aptos" w:eastAsia="Aptos" w:hAnsi="Aptos" w:cs="Aptos"/>
          <w:b/>
          <w:bCs/>
          <w:color w:val="FF0000"/>
          <w:sz w:val="32"/>
          <w:szCs w:val="32"/>
        </w:rPr>
        <w:br/>
      </w:r>
      <w:r w:rsidRPr="00712543">
        <w:rPr>
          <w:rFonts w:asciiTheme="minorHAnsi" w:eastAsia="Aptos" w:hAnsiTheme="minorHAnsi" w:cstheme="minorHAnsi"/>
          <w:b/>
          <w:bCs/>
          <w:color w:val="000000" w:themeColor="text1"/>
          <w:sz w:val="32"/>
          <w:szCs w:val="32"/>
        </w:rPr>
        <w:br/>
        <w:t>Santander potencia el financiamiento digital del agro y celebra los 20 años de Expoagro junto a los productores</w:t>
      </w:r>
      <w:r w:rsidRPr="00712543">
        <w:rPr>
          <w:rFonts w:asciiTheme="minorHAnsi" w:eastAsia="Aptos" w:hAnsiTheme="minorHAnsi" w:cstheme="minorHAnsi"/>
          <w:b/>
          <w:bCs/>
          <w:color w:val="FF0000"/>
          <w:sz w:val="32"/>
          <w:szCs w:val="32"/>
        </w:rPr>
        <w:br/>
      </w:r>
    </w:p>
    <w:p w14:paraId="10AF93FC" w14:textId="77777777" w:rsidR="00712543" w:rsidRPr="00712543" w:rsidRDefault="00712543" w:rsidP="007125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inorHAnsi" w:eastAsia="Aptos" w:hAnsiTheme="minorHAnsi" w:cstheme="minorHAnsi"/>
          <w:i/>
          <w:iCs/>
          <w:color w:val="000000"/>
        </w:rPr>
      </w:pPr>
      <w:r w:rsidRPr="00712543">
        <w:rPr>
          <w:rFonts w:asciiTheme="minorHAnsi" w:eastAsia="Aptos" w:hAnsiTheme="minorHAnsi" w:cstheme="minorHAnsi"/>
          <w:i/>
          <w:iCs/>
          <w:color w:val="000000"/>
        </w:rPr>
        <w:t xml:space="preserve">Con una trayectoria sostenida en la muestra </w:t>
      </w:r>
      <w:r w:rsidRPr="00712543">
        <w:rPr>
          <w:rFonts w:asciiTheme="minorHAnsi" w:eastAsia="Aptos" w:hAnsiTheme="minorHAnsi" w:cstheme="minorHAnsi"/>
          <w:b/>
          <w:bCs/>
          <w:i/>
          <w:iCs/>
          <w:color w:val="000000"/>
        </w:rPr>
        <w:t>Banco Santander Argentina</w:t>
      </w:r>
      <w:r w:rsidRPr="00712543">
        <w:rPr>
          <w:rFonts w:asciiTheme="minorHAnsi" w:eastAsia="Aptos" w:hAnsiTheme="minorHAnsi" w:cstheme="minorHAnsi"/>
          <w:i/>
          <w:iCs/>
          <w:color w:val="000000"/>
        </w:rPr>
        <w:t xml:space="preserve"> participará nuevamente de la megamuestra agroindustrial a cielo abierto más importante del país. Llevará una propuesta integral orientada a </w:t>
      </w:r>
      <w:r w:rsidRPr="00712543">
        <w:rPr>
          <w:rFonts w:asciiTheme="minorHAnsi" w:eastAsia="Aptos" w:hAnsiTheme="minorHAnsi" w:cstheme="minorHAnsi"/>
          <w:b/>
          <w:bCs/>
          <w:i/>
          <w:iCs/>
          <w:color w:val="000000"/>
        </w:rPr>
        <w:t>impulsar la producción, facilitar el acceso al crédito acelerando la digitalización del sector agropecuario</w:t>
      </w:r>
      <w:r w:rsidRPr="00712543">
        <w:rPr>
          <w:rFonts w:asciiTheme="minorHAnsi" w:eastAsia="Aptos" w:hAnsiTheme="minorHAnsi" w:cstheme="minorHAnsi"/>
          <w:i/>
          <w:iCs/>
          <w:color w:val="000000"/>
        </w:rPr>
        <w:t xml:space="preserve"> y poniendo a disposición toda su plataforma de soluciones transaccionales para el </w:t>
      </w:r>
      <w:r>
        <w:rPr>
          <w:rFonts w:asciiTheme="minorHAnsi" w:eastAsia="Aptos" w:hAnsiTheme="minorHAnsi" w:cstheme="minorHAnsi"/>
          <w:i/>
          <w:iCs/>
          <w:color w:val="000000"/>
        </w:rPr>
        <w:t>agro.</w:t>
      </w:r>
    </w:p>
    <w:p w14:paraId="3ACCD64E" w14:textId="77777777" w:rsidR="00712543" w:rsidRDefault="00712543" w:rsidP="007125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inorHAnsi" w:eastAsia="Aptos" w:hAnsiTheme="minorHAnsi" w:cstheme="minorHAnsi"/>
          <w:color w:val="000000"/>
        </w:rPr>
      </w:pPr>
    </w:p>
    <w:p w14:paraId="5F464B2C" w14:textId="77777777" w:rsidR="009D33B0" w:rsidRPr="00712543" w:rsidRDefault="00712543" w:rsidP="007125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 xml:space="preserve">Reafirmando su rol como socio estratégico del campo argentino, la banca privada volverá a </w:t>
      </w:r>
      <w:r w:rsidRPr="00712543">
        <w:rPr>
          <w:rFonts w:asciiTheme="minorHAnsi" w:eastAsia="Aptos" w:hAnsiTheme="minorHAnsi" w:cstheme="minorHAnsi"/>
          <w:b/>
          <w:bCs/>
          <w:color w:val="000000"/>
        </w:rPr>
        <w:t>Expoagro 2026 edición YPF</w:t>
      </w:r>
      <w:r w:rsidRPr="00712543">
        <w:rPr>
          <w:rFonts w:asciiTheme="minorHAnsi" w:eastAsia="Aptos" w:hAnsiTheme="minorHAnsi" w:cstheme="minorHAnsi"/>
          <w:color w:val="000000"/>
        </w:rPr>
        <w:t xml:space="preserve"> para en acompañar en los 20 años de un evento que se consolidó como punto de encuentro clave entre productores, empresas, innovación y financiamiento.</w:t>
      </w:r>
    </w:p>
    <w:p w14:paraId="26BEB2D9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> </w:t>
      </w:r>
    </w:p>
    <w:p w14:paraId="7CDFFCD4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 xml:space="preserve">Santander presentará una </w:t>
      </w:r>
      <w:r w:rsidRPr="00712543">
        <w:rPr>
          <w:rFonts w:asciiTheme="minorHAnsi" w:eastAsia="Aptos" w:hAnsiTheme="minorHAnsi" w:cstheme="minorHAnsi"/>
          <w:b/>
          <w:bCs/>
          <w:color w:val="000000"/>
        </w:rPr>
        <w:t>oferta ampliada de soluciones financieras para el agro</w:t>
      </w:r>
      <w:r w:rsidRPr="00712543">
        <w:rPr>
          <w:rFonts w:asciiTheme="minorHAnsi" w:eastAsia="Aptos" w:hAnsiTheme="minorHAnsi" w:cstheme="minorHAnsi"/>
          <w:color w:val="000000"/>
        </w:rPr>
        <w:t xml:space="preserve">, con foco en la </w:t>
      </w:r>
      <w:r w:rsidRPr="00712543">
        <w:rPr>
          <w:rFonts w:asciiTheme="minorHAnsi" w:eastAsia="Aptos" w:hAnsiTheme="minorHAnsi" w:cstheme="minorHAnsi"/>
          <w:b/>
          <w:bCs/>
          <w:color w:val="000000"/>
        </w:rPr>
        <w:t>agilidad, la digitalización</w:t>
      </w:r>
      <w:r w:rsidRPr="00712543">
        <w:rPr>
          <w:rFonts w:asciiTheme="minorHAnsi" w:eastAsia="Aptos" w:hAnsiTheme="minorHAnsi" w:cstheme="minorHAnsi"/>
          <w:b/>
          <w:bCs/>
          <w:color w:val="000000"/>
        </w:rPr>
        <w:t xml:space="preserve"> y la competitividad</w:t>
      </w:r>
      <w:r w:rsidRPr="00712543">
        <w:rPr>
          <w:rFonts w:asciiTheme="minorHAnsi" w:eastAsia="Aptos" w:hAnsiTheme="minorHAnsi" w:cstheme="minorHAnsi"/>
          <w:color w:val="000000"/>
        </w:rPr>
        <w:t>, integrando su propuesta tradicional con herramientas tecnológicas que simplifican la operatoria diaria del productor.</w:t>
      </w:r>
    </w:p>
    <w:p w14:paraId="37F35497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> </w:t>
      </w:r>
    </w:p>
    <w:p w14:paraId="0D00FD33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 xml:space="preserve">Entre las principales novedades se destaca su propuesta digital a través de </w:t>
      </w:r>
      <w:r w:rsidRPr="00712543">
        <w:rPr>
          <w:rFonts w:asciiTheme="minorHAnsi" w:eastAsia="Aptos" w:hAnsiTheme="minorHAnsi" w:cstheme="minorHAnsi"/>
          <w:b/>
          <w:bCs/>
          <w:color w:val="000000"/>
        </w:rPr>
        <w:t>NERA</w:t>
      </w:r>
      <w:r w:rsidRPr="00712543">
        <w:rPr>
          <w:rFonts w:asciiTheme="minorHAnsi" w:eastAsia="Aptos" w:hAnsiTheme="minorHAnsi" w:cstheme="minorHAnsi"/>
          <w:color w:val="000000"/>
        </w:rPr>
        <w:t>, el ecosistema de pagos y financi</w:t>
      </w:r>
      <w:r w:rsidRPr="00712543">
        <w:rPr>
          <w:rFonts w:asciiTheme="minorHAnsi" w:eastAsia="Aptos" w:hAnsiTheme="minorHAnsi" w:cstheme="minorHAnsi"/>
          <w:color w:val="000000"/>
        </w:rPr>
        <w:t>amiento para el agro que conecta productores, proveedores y entidades financieras en una plataforma 100% online, permitiendo operar de manera simple, transparente y sin fricciones.</w:t>
      </w:r>
    </w:p>
    <w:p w14:paraId="79FE46EB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> </w:t>
      </w:r>
    </w:p>
    <w:p w14:paraId="2AF3AAD2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 xml:space="preserve">Además, exhibirá nuevas </w:t>
      </w:r>
      <w:r w:rsidRPr="00712543">
        <w:rPr>
          <w:rFonts w:asciiTheme="minorHAnsi" w:eastAsia="Aptos" w:hAnsiTheme="minorHAnsi" w:cstheme="minorHAnsi"/>
          <w:b/>
          <w:bCs/>
          <w:color w:val="000000"/>
        </w:rPr>
        <w:t xml:space="preserve">soluciones de crédito y servicios diseñados para </w:t>
      </w:r>
      <w:r w:rsidRPr="00712543">
        <w:rPr>
          <w:rFonts w:asciiTheme="minorHAnsi" w:eastAsia="Aptos" w:hAnsiTheme="minorHAnsi" w:cstheme="minorHAnsi"/>
          <w:b/>
          <w:bCs/>
          <w:color w:val="000000"/>
        </w:rPr>
        <w:t>acompañar cada etapa del ciclo productivo,</w:t>
      </w:r>
      <w:r w:rsidRPr="00712543">
        <w:rPr>
          <w:rFonts w:asciiTheme="minorHAnsi" w:eastAsia="Aptos" w:hAnsiTheme="minorHAnsi" w:cstheme="minorHAnsi"/>
          <w:color w:val="000000"/>
        </w:rPr>
        <w:t xml:space="preserve"> desde la compra de insumos hasta la comercialización y la inversión en bienes de capital.</w:t>
      </w:r>
    </w:p>
    <w:p w14:paraId="60ED0118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> </w:t>
      </w:r>
    </w:p>
    <w:p w14:paraId="7F4FE881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i/>
          <w:iCs/>
          <w:color w:val="000000"/>
        </w:rPr>
        <w:t xml:space="preserve">“Estamos dando un paso más en la forma de financiar al agro, integrando el crédito con herramientas digitales que le </w:t>
      </w:r>
      <w:r w:rsidRPr="00712543">
        <w:rPr>
          <w:rFonts w:asciiTheme="minorHAnsi" w:eastAsia="Aptos" w:hAnsiTheme="minorHAnsi" w:cstheme="minorHAnsi"/>
          <w:i/>
          <w:iCs/>
          <w:color w:val="000000"/>
        </w:rPr>
        <w:t>ahorran tiempo y le dan más opciones al productor. NERA es clave en ese camino”,</w:t>
      </w:r>
      <w:r w:rsidRPr="00712543">
        <w:rPr>
          <w:rFonts w:asciiTheme="minorHAnsi" w:eastAsia="Aptos" w:hAnsiTheme="minorHAnsi" w:cstheme="minorHAnsi"/>
          <w:color w:val="000000"/>
        </w:rPr>
        <w:t xml:space="preserve"> señaló </w:t>
      </w:r>
      <w:r w:rsidRPr="00712543">
        <w:rPr>
          <w:rFonts w:asciiTheme="minorHAnsi" w:eastAsia="Aptos" w:hAnsiTheme="minorHAnsi" w:cstheme="minorHAnsi"/>
          <w:b/>
          <w:bCs/>
          <w:color w:val="000000"/>
        </w:rPr>
        <w:t>Nicolás Low, Head de Agronegocios de Santander Argentina</w:t>
      </w:r>
      <w:r w:rsidRPr="00712543">
        <w:rPr>
          <w:rFonts w:asciiTheme="minorHAnsi" w:eastAsia="Aptos" w:hAnsiTheme="minorHAnsi" w:cstheme="minorHAnsi"/>
          <w:color w:val="000000"/>
        </w:rPr>
        <w:t>.</w:t>
      </w:r>
    </w:p>
    <w:p w14:paraId="3797A78E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> </w:t>
      </w:r>
    </w:p>
    <w:p w14:paraId="5003D4D1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b/>
          <w:bCs/>
          <w:color w:val="000000"/>
        </w:rPr>
        <w:t>Financiamiento y beneficios para productores</w:t>
      </w:r>
    </w:p>
    <w:p w14:paraId="3E0834C9" w14:textId="77777777" w:rsidR="009D33B0" w:rsidRPr="00712543" w:rsidRDefault="00A63C33" w:rsidP="007125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 xml:space="preserve">Durante la muestra, Santander ofrecerá </w:t>
      </w:r>
      <w:r w:rsidRPr="00712543">
        <w:rPr>
          <w:rFonts w:asciiTheme="minorHAnsi" w:eastAsia="Aptos" w:hAnsiTheme="minorHAnsi" w:cstheme="minorHAnsi"/>
          <w:b/>
          <w:bCs/>
          <w:color w:val="000000"/>
        </w:rPr>
        <w:t>líneas de financiamiento</w:t>
      </w:r>
      <w:r w:rsidRPr="00712543">
        <w:rPr>
          <w:rFonts w:asciiTheme="minorHAnsi" w:eastAsia="Aptos" w:hAnsiTheme="minorHAnsi" w:cstheme="minorHAnsi"/>
          <w:b/>
          <w:bCs/>
          <w:color w:val="000000"/>
        </w:rPr>
        <w:t xml:space="preserve"> específicas para el sector agropecuario</w:t>
      </w:r>
      <w:r w:rsidRPr="00712543">
        <w:rPr>
          <w:rFonts w:asciiTheme="minorHAnsi" w:eastAsia="Aptos" w:hAnsiTheme="minorHAnsi" w:cstheme="minorHAnsi"/>
          <w:color w:val="000000"/>
        </w:rPr>
        <w:t xml:space="preserve">, orientadas </w:t>
      </w:r>
      <w:r w:rsidR="00712543">
        <w:rPr>
          <w:rFonts w:asciiTheme="minorHAnsi" w:eastAsia="Aptos" w:hAnsiTheme="minorHAnsi" w:cstheme="minorHAnsi"/>
          <w:color w:val="000000"/>
        </w:rPr>
        <w:t xml:space="preserve">la </w:t>
      </w:r>
      <w:r w:rsidR="00712543">
        <w:rPr>
          <w:rFonts w:asciiTheme="minorHAnsi" w:hAnsiTheme="minorHAnsi" w:cstheme="minorHAnsi"/>
          <w:color w:val="000000"/>
        </w:rPr>
        <w:t>c</w:t>
      </w:r>
      <w:r w:rsidRPr="00712543">
        <w:rPr>
          <w:rFonts w:asciiTheme="minorHAnsi" w:hAnsiTheme="minorHAnsi" w:cstheme="minorHAnsi"/>
          <w:color w:val="000000"/>
        </w:rPr>
        <w:t>ompra de insumos agrícolas y ganaderos</w:t>
      </w:r>
      <w:r w:rsidR="00712543">
        <w:rPr>
          <w:rFonts w:asciiTheme="minorHAnsi" w:eastAsia="Aptos" w:hAnsiTheme="minorHAnsi" w:cstheme="minorHAnsi"/>
          <w:color w:val="000000"/>
        </w:rPr>
        <w:t xml:space="preserve">, </w:t>
      </w:r>
      <w:r w:rsidR="00712543">
        <w:rPr>
          <w:rFonts w:asciiTheme="minorHAnsi" w:hAnsiTheme="minorHAnsi" w:cstheme="minorHAnsi"/>
          <w:color w:val="000000"/>
        </w:rPr>
        <w:t>a la a</w:t>
      </w:r>
      <w:r w:rsidRPr="00712543">
        <w:rPr>
          <w:rFonts w:asciiTheme="minorHAnsi" w:hAnsiTheme="minorHAnsi" w:cstheme="minorHAnsi"/>
          <w:color w:val="000000"/>
        </w:rPr>
        <w:t>dquisición de maquinaria agrícola y bienes de capital</w:t>
      </w:r>
      <w:r w:rsidR="00712543">
        <w:rPr>
          <w:rFonts w:asciiTheme="minorHAnsi" w:hAnsiTheme="minorHAnsi" w:cstheme="minorHAnsi"/>
          <w:color w:val="000000"/>
        </w:rPr>
        <w:t>, y al</w:t>
      </w:r>
      <w:r w:rsidR="00712543">
        <w:rPr>
          <w:rFonts w:asciiTheme="minorHAnsi" w:eastAsia="Aptos" w:hAnsiTheme="minorHAnsi" w:cstheme="minorHAnsi"/>
          <w:color w:val="000000"/>
        </w:rPr>
        <w:t xml:space="preserve"> </w:t>
      </w:r>
      <w:r w:rsidR="00712543">
        <w:rPr>
          <w:rFonts w:asciiTheme="minorHAnsi" w:hAnsiTheme="minorHAnsi" w:cstheme="minorHAnsi"/>
          <w:color w:val="000000"/>
        </w:rPr>
        <w:t>c</w:t>
      </w:r>
      <w:r w:rsidRPr="00712543">
        <w:rPr>
          <w:rFonts w:asciiTheme="minorHAnsi" w:hAnsiTheme="minorHAnsi" w:cstheme="minorHAnsi"/>
          <w:color w:val="000000"/>
        </w:rPr>
        <w:t>apital de trabajo y financiación de campañas</w:t>
      </w:r>
      <w:r w:rsidR="00712543">
        <w:rPr>
          <w:rFonts w:asciiTheme="minorHAnsi" w:hAnsiTheme="minorHAnsi" w:cstheme="minorHAnsi"/>
          <w:color w:val="000000"/>
        </w:rPr>
        <w:t>.</w:t>
      </w:r>
    </w:p>
    <w:p w14:paraId="5BDDDB35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> </w:t>
      </w:r>
    </w:p>
    <w:p w14:paraId="692F7870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 xml:space="preserve">Estas soluciones contarán con </w:t>
      </w:r>
      <w:r w:rsidRPr="00712543">
        <w:rPr>
          <w:rFonts w:asciiTheme="minorHAnsi" w:eastAsia="Aptos" w:hAnsiTheme="minorHAnsi" w:cstheme="minorHAnsi"/>
          <w:b/>
          <w:bCs/>
          <w:color w:val="000000"/>
        </w:rPr>
        <w:t>condiciones especiales de tasa y plazo</w:t>
      </w:r>
      <w:r w:rsidRPr="00712543">
        <w:rPr>
          <w:rFonts w:asciiTheme="minorHAnsi" w:eastAsia="Aptos" w:hAnsiTheme="minorHAnsi" w:cstheme="minorHAnsi"/>
          <w:color w:val="000000"/>
        </w:rPr>
        <w:t>, promociones exclusivas vigentes durante Expoagro y la posibilidad de gestionar operaciones de forma digital</w:t>
      </w:r>
      <w:r w:rsidR="00712543">
        <w:rPr>
          <w:rFonts w:asciiTheme="minorHAnsi" w:eastAsia="Aptos" w:hAnsiTheme="minorHAnsi" w:cstheme="minorHAnsi"/>
          <w:color w:val="000000"/>
        </w:rPr>
        <w:t>.</w:t>
      </w:r>
    </w:p>
    <w:p w14:paraId="5D2C4803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> </w:t>
      </w:r>
    </w:p>
    <w:p w14:paraId="06D38771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i/>
          <w:iCs/>
          <w:color w:val="000000"/>
        </w:rPr>
        <w:lastRenderedPageBreak/>
        <w:t>“Nuestro foco está puesto en acompañar al productor con financiamiento comp</w:t>
      </w:r>
      <w:r w:rsidRPr="00712543">
        <w:rPr>
          <w:rFonts w:asciiTheme="minorHAnsi" w:eastAsia="Aptos" w:hAnsiTheme="minorHAnsi" w:cstheme="minorHAnsi"/>
          <w:i/>
          <w:iCs/>
          <w:color w:val="000000"/>
        </w:rPr>
        <w:t>etitivo, simple y accesible, adaptado a la dinámica real del negocio agropecuario”,</w:t>
      </w:r>
      <w:r w:rsidRPr="00712543">
        <w:rPr>
          <w:rFonts w:asciiTheme="minorHAnsi" w:eastAsia="Aptos" w:hAnsiTheme="minorHAnsi" w:cstheme="minorHAnsi"/>
          <w:color w:val="000000"/>
        </w:rPr>
        <w:t> agregó Low.</w:t>
      </w:r>
    </w:p>
    <w:p w14:paraId="7BFFA030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> </w:t>
      </w:r>
    </w:p>
    <w:p w14:paraId="18B13CBD" w14:textId="77777777" w:rsidR="009D33B0" w:rsidRPr="00712543" w:rsidRDefault="007125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>
        <w:rPr>
          <w:rFonts w:asciiTheme="minorHAnsi" w:eastAsia="Aptos" w:hAnsiTheme="minorHAnsi" w:cstheme="minorHAnsi"/>
          <w:b/>
          <w:bCs/>
          <w:color w:val="000000"/>
        </w:rPr>
        <w:t>Una</w:t>
      </w:r>
      <w:r w:rsidRPr="00712543">
        <w:rPr>
          <w:rFonts w:asciiTheme="minorHAnsi" w:eastAsia="Aptos" w:hAnsiTheme="minorHAnsi" w:cstheme="minorHAnsi"/>
          <w:b/>
          <w:bCs/>
          <w:color w:val="000000"/>
        </w:rPr>
        <w:t xml:space="preserve"> edición especial</w:t>
      </w:r>
    </w:p>
    <w:p w14:paraId="6273D655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b/>
          <w:bCs/>
          <w:color w:val="000000"/>
        </w:rPr>
        <w:t> </w:t>
      </w:r>
      <w:r w:rsidR="00712543">
        <w:rPr>
          <w:rFonts w:asciiTheme="minorHAnsi" w:eastAsia="Aptos" w:hAnsiTheme="minorHAnsi" w:cstheme="minorHAnsi"/>
          <w:color w:val="000000"/>
        </w:rPr>
        <w:t xml:space="preserve">Desde </w:t>
      </w:r>
      <w:r w:rsidRPr="00712543">
        <w:rPr>
          <w:rFonts w:asciiTheme="minorHAnsi" w:eastAsia="Aptos" w:hAnsiTheme="minorHAnsi" w:cstheme="minorHAnsi"/>
          <w:color w:val="000000"/>
        </w:rPr>
        <w:t xml:space="preserve">Santander, </w:t>
      </w:r>
      <w:r w:rsidR="00712543">
        <w:rPr>
          <w:rFonts w:asciiTheme="minorHAnsi" w:eastAsia="Aptos" w:hAnsiTheme="minorHAnsi" w:cstheme="minorHAnsi"/>
          <w:color w:val="000000"/>
        </w:rPr>
        <w:t xml:space="preserve">explicaron que </w:t>
      </w:r>
      <w:r w:rsidRPr="00712543">
        <w:rPr>
          <w:rFonts w:asciiTheme="minorHAnsi" w:eastAsia="Aptos" w:hAnsiTheme="minorHAnsi" w:cstheme="minorHAnsi"/>
          <w:color w:val="000000"/>
        </w:rPr>
        <w:t xml:space="preserve">participar de la edición aniversario de </w:t>
      </w:r>
      <w:r w:rsidR="00712543" w:rsidRPr="00712543">
        <w:rPr>
          <w:rFonts w:asciiTheme="minorHAnsi" w:eastAsia="Aptos" w:hAnsiTheme="minorHAnsi" w:cstheme="minorHAnsi"/>
          <w:color w:val="000000"/>
        </w:rPr>
        <w:t>Capital Nacional de los Agronegocios</w:t>
      </w:r>
      <w:r w:rsidR="00712543">
        <w:rPr>
          <w:rFonts w:asciiTheme="minorHAnsi" w:eastAsia="Aptos" w:hAnsiTheme="minorHAnsi" w:cstheme="minorHAnsi"/>
          <w:color w:val="000000"/>
        </w:rPr>
        <w:t xml:space="preserve"> </w:t>
      </w:r>
      <w:r w:rsidRPr="00712543">
        <w:rPr>
          <w:rFonts w:asciiTheme="minorHAnsi" w:eastAsia="Aptos" w:hAnsiTheme="minorHAnsi" w:cstheme="minorHAnsi"/>
          <w:color w:val="000000"/>
        </w:rPr>
        <w:t xml:space="preserve">tiene un </w:t>
      </w:r>
      <w:r w:rsidRPr="00712543">
        <w:rPr>
          <w:rFonts w:asciiTheme="minorHAnsi" w:eastAsia="Aptos" w:hAnsiTheme="minorHAnsi" w:cstheme="minorHAnsi"/>
          <w:color w:val="000000"/>
        </w:rPr>
        <w:t>significado especial. </w:t>
      </w:r>
      <w:r w:rsidRPr="00712543">
        <w:rPr>
          <w:rFonts w:asciiTheme="minorHAnsi" w:eastAsia="Aptos" w:hAnsiTheme="minorHAnsi" w:cstheme="minorHAnsi"/>
          <w:i/>
          <w:iCs/>
          <w:color w:val="000000"/>
        </w:rPr>
        <w:t>“Expoagro es el espacio donde el agro muestra su capacidad de innovación y su enorme potencial productivo. Ser parte de esta edición aniversario es acompañar dos décadas de crecimiento y transformación del sector”,</w:t>
      </w:r>
      <w:r w:rsidRPr="00712543">
        <w:rPr>
          <w:rFonts w:asciiTheme="minorHAnsi" w:eastAsia="Aptos" w:hAnsiTheme="minorHAnsi" w:cstheme="minorHAnsi"/>
          <w:color w:val="000000"/>
        </w:rPr>
        <w:t xml:space="preserve"> destacó </w:t>
      </w:r>
      <w:r w:rsidRPr="00712543">
        <w:rPr>
          <w:rFonts w:asciiTheme="minorHAnsi" w:eastAsia="Aptos" w:hAnsiTheme="minorHAnsi" w:cstheme="minorHAnsi"/>
          <w:b/>
          <w:bCs/>
          <w:color w:val="000000"/>
        </w:rPr>
        <w:t>Nicolás Low</w:t>
      </w:r>
      <w:r w:rsidRPr="00712543">
        <w:rPr>
          <w:rFonts w:asciiTheme="minorHAnsi" w:eastAsia="Aptos" w:hAnsiTheme="minorHAnsi" w:cstheme="minorHAnsi"/>
          <w:color w:val="000000"/>
        </w:rPr>
        <w:t>.</w:t>
      </w:r>
    </w:p>
    <w:p w14:paraId="10F25326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> </w:t>
      </w:r>
    </w:p>
    <w:p w14:paraId="3B6C8B3B" w14:textId="77777777" w:rsidR="009D33B0" w:rsidRPr="00712543" w:rsidRDefault="007125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>
        <w:rPr>
          <w:rFonts w:asciiTheme="minorHAnsi" w:eastAsia="Aptos" w:hAnsiTheme="minorHAnsi" w:cstheme="minorHAnsi"/>
          <w:color w:val="000000"/>
        </w:rPr>
        <w:t xml:space="preserve">El banco </w:t>
      </w:r>
      <w:r w:rsidRPr="00712543">
        <w:rPr>
          <w:rFonts w:asciiTheme="minorHAnsi" w:eastAsia="Aptos" w:hAnsiTheme="minorHAnsi" w:cstheme="minorHAnsi"/>
          <w:color w:val="000000"/>
        </w:rPr>
        <w:t>participa de Expoagro desde hace varios años, construyendo una presencia sostenida y cercana al productor, y consolidando vínculos con empresas, cooperativas y proveedores del ecosistema agroindustrial.</w:t>
      </w:r>
    </w:p>
    <w:p w14:paraId="4E2639A3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> </w:t>
      </w:r>
    </w:p>
    <w:p w14:paraId="2B7E0EF0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i/>
          <w:iCs/>
          <w:color w:val="000000"/>
        </w:rPr>
        <w:t>“A lo largo de las distintas ediciones fuimos viendo cómo cambian las ne</w:t>
      </w:r>
      <w:r w:rsidRPr="00712543">
        <w:rPr>
          <w:rFonts w:asciiTheme="minorHAnsi" w:eastAsia="Aptos" w:hAnsiTheme="minorHAnsi" w:cstheme="minorHAnsi"/>
          <w:i/>
          <w:iCs/>
          <w:color w:val="000000"/>
        </w:rPr>
        <w:t>cesidades del productor, y Expoagro siempre nos permitió estar cerca, escuchar y adaptar nuestra propuesta”,</w:t>
      </w:r>
      <w:r w:rsidRPr="00712543">
        <w:rPr>
          <w:rFonts w:asciiTheme="minorHAnsi" w:eastAsia="Aptos" w:hAnsiTheme="minorHAnsi" w:cstheme="minorHAnsi"/>
          <w:color w:val="000000"/>
        </w:rPr>
        <w:t> recordó.</w:t>
      </w:r>
    </w:p>
    <w:p w14:paraId="1E0FD62C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> </w:t>
      </w:r>
    </w:p>
    <w:p w14:paraId="60980650" w14:textId="77777777" w:rsidR="00712543" w:rsidRDefault="007125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b/>
          <w:bCs/>
          <w:color w:val="000000"/>
        </w:rPr>
      </w:pPr>
      <w:r w:rsidRPr="00712543">
        <w:rPr>
          <w:rFonts w:asciiTheme="minorHAnsi" w:eastAsia="Aptos" w:hAnsiTheme="minorHAnsi" w:cstheme="minorHAnsi"/>
          <w:b/>
          <w:bCs/>
          <w:color w:val="000000"/>
        </w:rPr>
        <w:t xml:space="preserve">Contacto directo </w:t>
      </w:r>
    </w:p>
    <w:p w14:paraId="43370AF9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 xml:space="preserve">Santander elige Expoagro porque es el ámbito natural donde confluyen </w:t>
      </w:r>
      <w:r w:rsidRPr="00712543">
        <w:rPr>
          <w:rFonts w:asciiTheme="minorHAnsi" w:eastAsia="Aptos" w:hAnsiTheme="minorHAnsi" w:cstheme="minorHAnsi"/>
          <w:b/>
          <w:bCs/>
          <w:color w:val="000000"/>
        </w:rPr>
        <w:t>producción, innovación, inversión y financiamient</w:t>
      </w:r>
      <w:r w:rsidRPr="00712543">
        <w:rPr>
          <w:rFonts w:asciiTheme="minorHAnsi" w:eastAsia="Aptos" w:hAnsiTheme="minorHAnsi" w:cstheme="minorHAnsi"/>
          <w:b/>
          <w:bCs/>
          <w:color w:val="000000"/>
        </w:rPr>
        <w:t>o</w:t>
      </w:r>
      <w:r w:rsidRPr="00712543">
        <w:rPr>
          <w:rFonts w:asciiTheme="minorHAnsi" w:eastAsia="Aptos" w:hAnsiTheme="minorHAnsi" w:cstheme="minorHAnsi"/>
          <w:color w:val="000000"/>
        </w:rPr>
        <w:t xml:space="preserve">. La muestra permite un contacto directo con los protagonistas del agro y </w:t>
      </w:r>
      <w:r w:rsidR="00712543">
        <w:rPr>
          <w:rFonts w:asciiTheme="minorHAnsi" w:eastAsia="Aptos" w:hAnsiTheme="minorHAnsi" w:cstheme="minorHAnsi"/>
          <w:color w:val="000000"/>
        </w:rPr>
        <w:t xml:space="preserve">reforzar </w:t>
      </w:r>
      <w:r w:rsidRPr="00712543">
        <w:rPr>
          <w:rFonts w:asciiTheme="minorHAnsi" w:eastAsia="Aptos" w:hAnsiTheme="minorHAnsi" w:cstheme="minorHAnsi"/>
          <w:color w:val="000000"/>
        </w:rPr>
        <w:t>el compromiso del banco con un sector clave para el desarrollo económico del país.</w:t>
      </w:r>
    </w:p>
    <w:p w14:paraId="31ACB91E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> </w:t>
      </w:r>
    </w:p>
    <w:p w14:paraId="4A467263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i/>
          <w:iCs/>
          <w:color w:val="000000"/>
        </w:rPr>
        <w:t>“El agro es uno de los motores de la economía argentina y Expoagro es el lugar donde se</w:t>
      </w:r>
      <w:r w:rsidRPr="00712543">
        <w:rPr>
          <w:rFonts w:asciiTheme="minorHAnsi" w:eastAsia="Aptos" w:hAnsiTheme="minorHAnsi" w:cstheme="minorHAnsi"/>
          <w:i/>
          <w:iCs/>
          <w:color w:val="000000"/>
        </w:rPr>
        <w:t xml:space="preserve"> toman muchas de las decisiones productivas. Para nosotros es estratégico estar presentes con soluciones concretas y una mirada de largo plazo”,</w:t>
      </w:r>
      <w:r w:rsidRPr="00712543">
        <w:rPr>
          <w:rFonts w:asciiTheme="minorHAnsi" w:eastAsia="Aptos" w:hAnsiTheme="minorHAnsi" w:cstheme="minorHAnsi"/>
          <w:color w:val="000000"/>
        </w:rPr>
        <w:t> afirmó Low</w:t>
      </w:r>
      <w:r w:rsidR="00712543">
        <w:rPr>
          <w:rFonts w:asciiTheme="minorHAnsi" w:eastAsia="Aptos" w:hAnsiTheme="minorHAnsi" w:cstheme="minorHAnsi"/>
          <w:color w:val="000000"/>
        </w:rPr>
        <w:t>. A lo que agreg</w:t>
      </w:r>
      <w:r w:rsidR="00712543" w:rsidRPr="00712543">
        <w:rPr>
          <w:rFonts w:asciiTheme="minorHAnsi" w:eastAsia="Aptos" w:hAnsiTheme="minorHAnsi" w:cstheme="minorHAnsi"/>
          <w:color w:val="000000"/>
        </w:rPr>
        <w:t>ó</w:t>
      </w:r>
      <w:r w:rsidR="00712543">
        <w:rPr>
          <w:rFonts w:asciiTheme="minorHAnsi" w:eastAsia="Aptos" w:hAnsiTheme="minorHAnsi" w:cstheme="minorHAnsi"/>
          <w:color w:val="000000"/>
        </w:rPr>
        <w:t xml:space="preserve"> </w:t>
      </w:r>
      <w:r w:rsidRPr="00712543">
        <w:rPr>
          <w:rFonts w:asciiTheme="minorHAnsi" w:eastAsia="Aptos" w:hAnsiTheme="minorHAnsi" w:cstheme="minorHAnsi"/>
          <w:i/>
          <w:iCs/>
          <w:color w:val="000000"/>
        </w:rPr>
        <w:t>“Nuestro compromiso es seguir siendo un socio del agro, acompañando al productor en</w:t>
      </w:r>
      <w:r w:rsidRPr="00712543">
        <w:rPr>
          <w:rFonts w:asciiTheme="minorHAnsi" w:eastAsia="Aptos" w:hAnsiTheme="minorHAnsi" w:cstheme="minorHAnsi"/>
          <w:i/>
          <w:iCs/>
          <w:color w:val="000000"/>
        </w:rPr>
        <w:t xml:space="preserve"> cada etapa, con crédito, cercanía y herramientas que potencien su crecimiento”,</w:t>
      </w:r>
      <w:r w:rsidRPr="00712543">
        <w:rPr>
          <w:rFonts w:asciiTheme="minorHAnsi" w:eastAsia="Aptos" w:hAnsiTheme="minorHAnsi" w:cstheme="minorHAnsi"/>
          <w:color w:val="000000"/>
        </w:rPr>
        <w:t> concluyó Nicolás Low.</w:t>
      </w:r>
    </w:p>
    <w:p w14:paraId="0B9F2C8A" w14:textId="77777777" w:rsidR="009D33B0" w:rsidRPr="00712543" w:rsidRDefault="00A63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> </w:t>
      </w:r>
    </w:p>
    <w:p w14:paraId="747C652C" w14:textId="77777777" w:rsidR="009D33B0" w:rsidRPr="00712543" w:rsidRDefault="00A63C33" w:rsidP="007125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ptos" w:hAnsiTheme="minorHAnsi" w:cstheme="minorHAnsi"/>
          <w:color w:val="000000"/>
        </w:rPr>
      </w:pPr>
      <w:r w:rsidRPr="00712543">
        <w:rPr>
          <w:rFonts w:asciiTheme="minorHAnsi" w:eastAsia="Aptos" w:hAnsiTheme="minorHAnsi" w:cstheme="minorHAnsi"/>
          <w:color w:val="000000"/>
        </w:rPr>
        <w:t> </w:t>
      </w:r>
      <w:r w:rsidR="00712543" w:rsidRPr="00712543">
        <w:rPr>
          <w:rFonts w:asciiTheme="minorHAnsi" w:eastAsia="Aptos" w:hAnsiTheme="minorHAnsi" w:cstheme="minorHAnsi"/>
          <w:color w:val="000000"/>
        </w:rPr>
        <w:t xml:space="preserve"> </w:t>
      </w:r>
    </w:p>
    <w:p w14:paraId="63424E48" w14:textId="77777777" w:rsidR="009D33B0" w:rsidRPr="00712543" w:rsidRDefault="009D33B0">
      <w:pPr>
        <w:rPr>
          <w:rFonts w:asciiTheme="minorHAnsi" w:hAnsiTheme="minorHAnsi" w:cstheme="minorHAnsi"/>
        </w:rPr>
      </w:pPr>
    </w:p>
    <w:sectPr w:rsidR="009D33B0" w:rsidRPr="00712543">
      <w:headerReference w:type="default" r:id="rId9"/>
      <w:footerReference w:type="default" r:id="rId10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5BDBB" w14:textId="77777777" w:rsidR="00A63C33" w:rsidRDefault="00A63C33">
      <w:pPr>
        <w:spacing w:after="0" w:line="240" w:lineRule="auto"/>
      </w:pPr>
      <w:r>
        <w:separator/>
      </w:r>
    </w:p>
  </w:endnote>
  <w:endnote w:type="continuationSeparator" w:id="0">
    <w:p w14:paraId="47FCC4C6" w14:textId="77777777" w:rsidR="00A63C33" w:rsidRDefault="00A63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3006163A-2E62-4D55-B27B-1944B0C6670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F3BBBB45-E14C-451E-A4BF-2751D329E4C9}"/>
    <w:embedBold r:id="rId3" w:fontKey="{877E91A1-C2F9-4189-8BE2-A06F3AC45932}"/>
    <w:embedItalic r:id="rId4" w:fontKey="{B79B319B-421C-4F9A-BDA5-B665EA1995F9}"/>
    <w:embedBoldItalic r:id="rId5" w:fontKey="{0CBE62FE-ADC9-4ABE-8CB1-66FCC7E532DA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AC117CC-3D43-4F0E-BDEE-C8C2C84CA18C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7" w:fontKey="{CFA2C30D-11DD-4753-96B6-8913EAD1CD46}"/>
    <w:embedBold r:id="rId8" w:fontKey="{B88ADF8E-E041-44DB-9D4D-42C5927361A4}"/>
    <w:embedItalic r:id="rId9" w:fontKey="{1D92A207-27DA-422C-801F-125B94716E9D}"/>
    <w:embedBoldItalic r:id="rId10" w:fontKey="{ACD26FB7-C1EE-4E57-843F-37A6A039FC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55C56A1F-797B-4C83-B6AD-39AB1534E7B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2" w:fontKey="{29B43325-05D7-4F17-A2E0-CE0B9A62ED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32B9E" w14:textId="77777777" w:rsidR="009D33B0" w:rsidRDefault="00A63C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08A1D275" wp14:editId="43139770">
          <wp:extent cx="7649606" cy="34712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6B6CA" w14:textId="77777777" w:rsidR="00A63C33" w:rsidRDefault="00A63C33">
      <w:pPr>
        <w:spacing w:after="0" w:line="240" w:lineRule="auto"/>
      </w:pPr>
      <w:r>
        <w:separator/>
      </w:r>
    </w:p>
  </w:footnote>
  <w:footnote w:type="continuationSeparator" w:id="0">
    <w:p w14:paraId="2950134B" w14:textId="77777777" w:rsidR="00A63C33" w:rsidRDefault="00A63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9C1C2" w14:textId="77777777" w:rsidR="009D33B0" w:rsidRDefault="00A63C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5314BA27" wp14:editId="5D365683">
          <wp:extent cx="7647535" cy="1171592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C52523"/>
    <w:multiLevelType w:val="multilevel"/>
    <w:tmpl w:val="AF2231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3B0"/>
    <w:rsid w:val="002B0590"/>
    <w:rsid w:val="00712543"/>
    <w:rsid w:val="007E5079"/>
    <w:rsid w:val="009D33B0"/>
    <w:rsid w:val="00A63C33"/>
    <w:rsid w:val="00C2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E6E79"/>
  <w15:docId w15:val="{4ED9D6FE-5288-A748-8FE2-7906FED71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s-MX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B412D"/>
    <w:rPr>
      <w:color w:val="0000FF"/>
      <w:u w:val="single"/>
    </w:rPr>
  </w:style>
  <w:style w:type="paragraph" w:customStyle="1" w:styleId="elementtoproof">
    <w:name w:val="elementtoproof"/>
    <w:basedOn w:val="Normal"/>
    <w:rsid w:val="009833C8"/>
    <w:pPr>
      <w:spacing w:after="0" w:line="240" w:lineRule="auto"/>
    </w:pPr>
    <w:rPr>
      <w:rFonts w:ascii="Aptos" w:hAnsi="Apt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7125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2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/ST+2YjdQkzI3isjzkptTEUy9g==">CgMxLjA4AHIhMWl3V01INzlOY2ZqOUpzOTFjUWNmRlZReExoODJjRjln</go:docsCustomData>
</go:gDocsCustomXmlDataStorage>
</file>

<file path=customXml/itemProps1.xml><?xml version="1.0" encoding="utf-8"?>
<ds:datastoreItem xmlns:ds="http://schemas.openxmlformats.org/officeDocument/2006/customXml" ds:itemID="{510E0E36-9D1E-104E-8FFF-A5AD00F8A3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606</Words>
  <Characters>3457</Characters>
  <Application>Microsoft Office Word</Application>
  <DocSecurity>0</DocSecurity>
  <Lines>28</Lines>
  <Paragraphs>8</Paragraphs>
  <ScaleCrop>false</ScaleCrop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Brenda Quattrini</cp:lastModifiedBy>
  <cp:revision>2</cp:revision>
  <dcterms:created xsi:type="dcterms:W3CDTF">2026-01-22T18:13:00Z</dcterms:created>
  <dcterms:modified xsi:type="dcterms:W3CDTF">2026-01-22T18:13:00Z</dcterms:modified>
</cp:coreProperties>
</file>