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C0E" w14:textId="77777777" w:rsidR="008B76F2" w:rsidRDefault="008B76F2" w:rsidP="00AF6518">
      <w:pPr>
        <w:tabs>
          <w:tab w:val="left" w:pos="284"/>
          <w:tab w:val="left" w:pos="9072"/>
        </w:tabs>
        <w:spacing w:line="276" w:lineRule="auto"/>
        <w:ind w:right="16"/>
        <w:jc w:val="center"/>
        <w:rPr>
          <w:rFonts w:eastAsia="MS Mincho" w:cstheme="minorHAnsi"/>
          <w:b/>
          <w:bCs/>
          <w:kern w:val="32"/>
          <w:sz w:val="28"/>
          <w:szCs w:val="28"/>
          <w:lang w:eastAsia="zh-CN"/>
        </w:rPr>
      </w:pPr>
    </w:p>
    <w:p w14:paraId="425A3198" w14:textId="7DB3F38E" w:rsidR="00AF6518" w:rsidRPr="00AF6518" w:rsidRDefault="00AF6518" w:rsidP="00AF6518">
      <w:pPr>
        <w:tabs>
          <w:tab w:val="left" w:pos="284"/>
          <w:tab w:val="left" w:pos="9072"/>
        </w:tabs>
        <w:spacing w:line="276" w:lineRule="auto"/>
        <w:ind w:right="16"/>
        <w:jc w:val="center"/>
        <w:rPr>
          <w:rFonts w:eastAsia="MS Mincho" w:cstheme="minorHAnsi"/>
          <w:b/>
          <w:bCs/>
          <w:kern w:val="32"/>
          <w:sz w:val="28"/>
          <w:szCs w:val="28"/>
          <w:lang w:eastAsia="zh-CN"/>
        </w:rPr>
      </w:pPr>
      <w:r w:rsidRPr="00AF6518">
        <w:rPr>
          <w:rFonts w:eastAsia="MS Mincho" w:cstheme="minorHAnsi"/>
          <w:b/>
          <w:bCs/>
          <w:kern w:val="32"/>
          <w:sz w:val="28"/>
          <w:szCs w:val="28"/>
          <w:lang w:eastAsia="zh-CN"/>
        </w:rPr>
        <w:t>El Premio Ternium Expoagro a la Innovación Agroindustrial celebra su décima edición destacando la tecnológica en el agro</w:t>
      </w:r>
    </w:p>
    <w:p w14:paraId="192D6D29" w14:textId="14299803" w:rsidR="00AF6518" w:rsidRPr="00AF6518" w:rsidRDefault="00AF6518" w:rsidP="008B76F2">
      <w:pPr>
        <w:tabs>
          <w:tab w:val="left" w:pos="284"/>
          <w:tab w:val="left" w:pos="9072"/>
        </w:tabs>
        <w:spacing w:line="276" w:lineRule="auto"/>
        <w:ind w:right="16"/>
        <w:jc w:val="center"/>
        <w:rPr>
          <w:rFonts w:eastAsia="Times" w:cstheme="minorHAnsi"/>
          <w:i/>
          <w:iCs/>
        </w:rPr>
      </w:pPr>
      <w:r w:rsidRPr="00AF6518">
        <w:rPr>
          <w:rFonts w:eastAsia="Times" w:cstheme="minorHAnsi"/>
          <w:i/>
          <w:iCs/>
        </w:rPr>
        <w:t>Con foco en la Inteligencia Artificial y la automatización de procesos, el galardón reconocerá este año a los desarrollos más innovadores del sector en el marco de la 20ª edición de Expoagro. A lo largo de su historia, el premio ya distinguió a más de 140 avances tecnológicos de la agroindustria nacional.</w:t>
      </w:r>
    </w:p>
    <w:p w14:paraId="7EC188AB" w14:textId="77777777" w:rsidR="00AF6518" w:rsidRPr="008B76F2" w:rsidRDefault="00AF6518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</w:rPr>
      </w:pPr>
      <w:r w:rsidRPr="008B76F2">
        <w:rPr>
          <w:rFonts w:eastAsia="Times" w:cstheme="minorHAnsi"/>
        </w:rPr>
        <w:t>La ceremonia de premiación, en la que se entregarán las medallas a los nueve desarrollos ganadores, se realizará en el stand de Ternium durante la exposición, que tendrá lugar del 10 al 13 de marzo en San Nicolás.</w:t>
      </w:r>
    </w:p>
    <w:p w14:paraId="61A512F6" w14:textId="3E114533" w:rsidR="00AF6518" w:rsidRPr="00AF6518" w:rsidRDefault="00AF6518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  <w:lang w:val="es-419"/>
        </w:rPr>
      </w:pPr>
      <w:r w:rsidRPr="00AF6518">
        <w:rPr>
          <w:rFonts w:eastAsia="Times" w:cstheme="minorHAnsi"/>
        </w:rPr>
        <w:t xml:space="preserve">La décima edición del Premio Ternium Expoagro a la Innovación Agroindustrial se llevará a cabo en el stand de Ternium en Expoagro </w:t>
      </w:r>
      <w:r>
        <w:rPr>
          <w:rFonts w:eastAsia="Times" w:cstheme="minorHAnsi"/>
        </w:rPr>
        <w:t>2026 edición YPF Agro</w:t>
      </w:r>
      <w:r w:rsidRPr="00AF6518">
        <w:rPr>
          <w:rFonts w:eastAsia="Times" w:cstheme="minorHAnsi"/>
        </w:rPr>
        <w:t xml:space="preserve">, en el año en que la muestra celebra su 20° aniversario. </w:t>
      </w:r>
      <w:r w:rsidRPr="00AF6518">
        <w:rPr>
          <w:rFonts w:eastAsia="Times" w:cstheme="minorHAnsi"/>
          <w:lang w:val="es-419"/>
        </w:rPr>
        <w:t>En total, se otorgarán 3 medallas de Oro, 2 de Plata, 1 de Bronce y 3 menciones especiales, tras un proceso de evaluación realizado por un jurado integrado por 14 especialistas del ámbito público y privado, de trayectoria nacional e internacional.</w:t>
      </w:r>
    </w:p>
    <w:p w14:paraId="14D5578A" w14:textId="77777777" w:rsidR="00AF6518" w:rsidRPr="00AF6518" w:rsidRDefault="00AF6518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</w:rPr>
      </w:pPr>
      <w:r w:rsidRPr="00AF6518">
        <w:rPr>
          <w:rFonts w:eastAsia="Times" w:cstheme="minorHAnsi"/>
        </w:rPr>
        <w:t>El premio distingue los avances tecnológicos que impulsan la competitividad y la sostenibilidad del sector agroindustrial, al tiempo que promueven la incorporación de innovación en la maquinaria argentina y la mejora continua de los procesos productivos, fortaleciendo su posicionamiento a nivel internacional.</w:t>
      </w:r>
    </w:p>
    <w:p w14:paraId="578BF963" w14:textId="77777777" w:rsidR="00AF6518" w:rsidRPr="00AF6518" w:rsidRDefault="00AF6518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</w:rPr>
      </w:pPr>
      <w:r w:rsidRPr="00AF6518">
        <w:rPr>
          <w:rFonts w:eastAsia="Times" w:cstheme="minorHAnsi"/>
        </w:rPr>
        <w:t xml:space="preserve">En esta décima edición se inscribieron 29 desarrollos presentados por 24 empresas de cuatro provincias. Los nueve proyectos ganadores corresponden a los rubros de siembra, multifunción, Inteligencia Artificial, </w:t>
      </w:r>
      <w:proofErr w:type="spellStart"/>
      <w:r w:rsidRPr="00AF6518">
        <w:rPr>
          <w:rFonts w:eastAsia="Times" w:cstheme="minorHAnsi"/>
        </w:rPr>
        <w:t>poscosecha</w:t>
      </w:r>
      <w:proofErr w:type="spellEnd"/>
      <w:r w:rsidRPr="00AF6518">
        <w:rPr>
          <w:rFonts w:eastAsia="Times" w:cstheme="minorHAnsi"/>
        </w:rPr>
        <w:t>, protección vegetal y fertilización. Fueron seleccionados por un jurado integrado por representantes, asesores, investigadores, técnicos, contratistas y productores de reconocida trayectoria en el ámbito público y privado.</w:t>
      </w:r>
    </w:p>
    <w:p w14:paraId="2FEB23E8" w14:textId="0FBDC179" w:rsidR="00AF6518" w:rsidRDefault="00AF6518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  <w:b/>
          <w:bCs/>
          <w:lang w:val="es-ES"/>
        </w:rPr>
      </w:pPr>
      <w:r w:rsidRPr="00AF6518">
        <w:rPr>
          <w:rFonts w:eastAsia="Times" w:cstheme="minorHAnsi"/>
          <w:i/>
          <w:iCs/>
          <w:lang w:val="es-ES"/>
        </w:rPr>
        <w:t>“El Premio Ternium Expoagro reconoce la capacidad de la agroindustria argentina para innovar, incorporar tecnología y competir a nivel global. El agro es una industria dinámica, generadora de divisas y desarrollo, y estos proyectos muestran cómo la innovación aplicada potencia toda la cadena de valor a lo largo y a lo ancho del país, en una Argentina federal donde crecen las ciudades, se desarrolla el conocimiento de las comunidades y se generan oportunidades de movilidad social. La innovación tecnológica aplicada al agro mejora procesos, suma eficiencia y fortalece a una de las industrias más dinámicas del país”,</w:t>
      </w:r>
      <w:r w:rsidRPr="00AF6518">
        <w:rPr>
          <w:rFonts w:eastAsia="Times" w:cstheme="minorHAnsi"/>
          <w:lang w:val="es-ES"/>
        </w:rPr>
        <w:t xml:space="preserve"> sostuvo </w:t>
      </w:r>
      <w:r w:rsidRPr="00AF6518">
        <w:rPr>
          <w:rFonts w:eastAsia="Times" w:cstheme="minorHAnsi"/>
          <w:b/>
          <w:bCs/>
          <w:lang w:val="es-ES"/>
        </w:rPr>
        <w:t xml:space="preserve">José del Boca, </w:t>
      </w:r>
      <w:r w:rsidR="008B76F2">
        <w:rPr>
          <w:rFonts w:eastAsia="Times" w:cstheme="minorHAnsi"/>
          <w:b/>
          <w:bCs/>
          <w:lang w:val="es-ES"/>
        </w:rPr>
        <w:t>v</w:t>
      </w:r>
      <w:r w:rsidRPr="00AF6518">
        <w:rPr>
          <w:rFonts w:eastAsia="Times" w:cstheme="minorHAnsi"/>
          <w:b/>
          <w:bCs/>
          <w:lang w:val="es-ES"/>
        </w:rPr>
        <w:t>icepresidente Comercial de Ternium Argentina.</w:t>
      </w:r>
    </w:p>
    <w:p w14:paraId="54B86EFC" w14:textId="42869AE1" w:rsidR="008B76F2" w:rsidRDefault="008B76F2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  <w:b/>
          <w:bCs/>
          <w:lang w:val="es-ES"/>
        </w:rPr>
      </w:pPr>
    </w:p>
    <w:p w14:paraId="40F081B4" w14:textId="77777777" w:rsidR="008B76F2" w:rsidRPr="00AF6518" w:rsidRDefault="008B76F2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  <w:b/>
          <w:bCs/>
          <w:lang w:val="es-ES"/>
        </w:rPr>
      </w:pPr>
    </w:p>
    <w:p w14:paraId="2E5BC8D0" w14:textId="77777777" w:rsidR="008B76F2" w:rsidRDefault="008B76F2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  <w:b/>
          <w:bCs/>
        </w:rPr>
      </w:pPr>
    </w:p>
    <w:p w14:paraId="0D41EC5D" w14:textId="77777777" w:rsidR="008B76F2" w:rsidRDefault="00AF6518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  <w:b/>
          <w:bCs/>
        </w:rPr>
      </w:pPr>
      <w:r w:rsidRPr="008B76F2">
        <w:rPr>
          <w:rFonts w:eastAsia="Times" w:cstheme="minorHAnsi"/>
          <w:b/>
          <w:bCs/>
        </w:rPr>
        <w:t>Dos décadas impulsando la innovación agroindustrial</w:t>
      </w:r>
    </w:p>
    <w:p w14:paraId="600591ED" w14:textId="606B3E4D" w:rsidR="00AF6518" w:rsidRPr="008B76F2" w:rsidRDefault="00AF6518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  <w:b/>
          <w:bCs/>
        </w:rPr>
      </w:pPr>
      <w:r w:rsidRPr="00AF6518">
        <w:rPr>
          <w:rFonts w:eastAsia="Times" w:cstheme="minorHAnsi"/>
        </w:rPr>
        <w:br/>
        <w:t>En el marco de los 20 años de la exposición, Ternium y Expoagro celebran dos décadas de trabajo conjunto, consolidando un espacio clave para visibilizar el desarrollo tecnológico aplicado al agro y acompañar la evolución de las empresas nacionales a lo largo de toda la cadena de valor, con proyección internacional.</w:t>
      </w:r>
    </w:p>
    <w:p w14:paraId="50BC2144" w14:textId="77777777" w:rsidR="00AF6518" w:rsidRPr="00AF6518" w:rsidRDefault="00AF6518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</w:rPr>
      </w:pPr>
      <w:r w:rsidRPr="00AF6518">
        <w:rPr>
          <w:rFonts w:eastAsia="Times" w:cstheme="minorHAnsi"/>
        </w:rPr>
        <w:t>A través de su participación en Expoagro, Ternium reafirma su compromiso con el agro como motor del desarrollo productivo del país, acompañando el crecimiento de la industria nacional y promoviendo un modelo de desarrollo sustentable para toda la cadena agroindustrial.</w:t>
      </w:r>
    </w:p>
    <w:p w14:paraId="5C550452" w14:textId="77777777" w:rsidR="00AF6518" w:rsidRPr="00AF6518" w:rsidRDefault="00AF6518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</w:rPr>
      </w:pPr>
      <w:r w:rsidRPr="00AF6518">
        <w:rPr>
          <w:rFonts w:eastAsia="Times" w:cstheme="minorHAnsi"/>
        </w:rPr>
        <w:t>A lo largo de sus diez ediciones, el Premio Ternium Expoagro a la Innovación Agroindustrial se consolidó como un sello de calidad y un aval de excelencia para el sector. El certamen busca estimular el ingenio, la creatividad y la aplicación de tecnología en la maquinaria agrícola desarrollada en la Argentina.</w:t>
      </w:r>
    </w:p>
    <w:p w14:paraId="449396BB" w14:textId="77777777" w:rsidR="00AF6518" w:rsidRPr="00AF6518" w:rsidRDefault="00AF6518" w:rsidP="00AF6518">
      <w:pPr>
        <w:tabs>
          <w:tab w:val="left" w:pos="284"/>
          <w:tab w:val="left" w:pos="9072"/>
        </w:tabs>
        <w:spacing w:line="276" w:lineRule="auto"/>
        <w:ind w:right="16"/>
        <w:jc w:val="both"/>
        <w:rPr>
          <w:rFonts w:eastAsia="Times" w:cstheme="minorHAnsi"/>
        </w:rPr>
      </w:pPr>
      <w:r w:rsidRPr="00AF6518">
        <w:rPr>
          <w:rFonts w:eastAsia="Times" w:cstheme="minorHAnsi"/>
        </w:rPr>
        <w:t xml:space="preserve">En esta edición, los ganadores de la medalla de Oro fueron Computing Management S.R.L., por su analizador automático; </w:t>
      </w:r>
      <w:proofErr w:type="spellStart"/>
      <w:r w:rsidRPr="00AF6518">
        <w:rPr>
          <w:rFonts w:eastAsia="Times" w:cstheme="minorHAnsi"/>
        </w:rPr>
        <w:t>Drops</w:t>
      </w:r>
      <w:proofErr w:type="spellEnd"/>
      <w:r w:rsidRPr="00AF6518">
        <w:rPr>
          <w:rFonts w:eastAsia="Times" w:cstheme="minorHAnsi"/>
        </w:rPr>
        <w:t xml:space="preserve"> Agro, por su sistema de medición de cada gota aplicada; y Talleres Metalúrgicos </w:t>
      </w:r>
      <w:proofErr w:type="spellStart"/>
      <w:r w:rsidRPr="00AF6518">
        <w:rPr>
          <w:rFonts w:eastAsia="Times" w:cstheme="minorHAnsi"/>
        </w:rPr>
        <w:t>Crucianelli</w:t>
      </w:r>
      <w:proofErr w:type="spellEnd"/>
      <w:r w:rsidRPr="00AF6518">
        <w:rPr>
          <w:rFonts w:eastAsia="Times" w:cstheme="minorHAnsi"/>
        </w:rPr>
        <w:t>, por su proyecto de dosificación y distribución para fertilizadoras neumáticas.</w:t>
      </w:r>
    </w:p>
    <w:p w14:paraId="59A43763" w14:textId="77777777" w:rsidR="00AF6518" w:rsidRPr="00143D81" w:rsidRDefault="00AF6518" w:rsidP="00AF6518">
      <w:pPr>
        <w:tabs>
          <w:tab w:val="left" w:pos="284"/>
          <w:tab w:val="left" w:pos="9072"/>
        </w:tabs>
        <w:spacing w:line="240" w:lineRule="exact"/>
        <w:ind w:right="16"/>
        <w:jc w:val="both"/>
        <w:rPr>
          <w:rFonts w:ascii="Georgia" w:eastAsia="Times" w:hAnsi="Georgia"/>
          <w:szCs w:val="20"/>
          <w:lang w:val="es-419"/>
        </w:rPr>
      </w:pPr>
    </w:p>
    <w:p w14:paraId="318AC69F" w14:textId="170ADCD3" w:rsidR="002F7D71" w:rsidRDefault="002F7D71" w:rsidP="008A446C"/>
    <w:p w14:paraId="16C63956" w14:textId="4D9251F0" w:rsidR="002F7D71" w:rsidRDefault="002F7D71" w:rsidP="008A446C"/>
    <w:p w14:paraId="015E38C9" w14:textId="77777777" w:rsidR="002F7D71" w:rsidRDefault="002F7D71" w:rsidP="008A446C"/>
    <w:p w14:paraId="2D83C620" w14:textId="335487DA" w:rsidR="002F7D71" w:rsidRDefault="002F7D71" w:rsidP="008A446C"/>
    <w:p w14:paraId="4CEC81F3" w14:textId="77777777" w:rsidR="002F7D71" w:rsidRDefault="002F7D71" w:rsidP="008A446C"/>
    <w:sectPr w:rsidR="002F7D71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10B5" w14:textId="77777777" w:rsidR="002E64F4" w:rsidRDefault="002E64F4" w:rsidP="00E728E0">
      <w:pPr>
        <w:spacing w:after="0" w:line="240" w:lineRule="auto"/>
      </w:pPr>
      <w:r>
        <w:separator/>
      </w:r>
    </w:p>
  </w:endnote>
  <w:endnote w:type="continuationSeparator" w:id="0">
    <w:p w14:paraId="67916407" w14:textId="77777777" w:rsidR="002E64F4" w:rsidRDefault="002E64F4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5E43" w14:textId="77777777" w:rsidR="002E64F4" w:rsidRDefault="002E64F4" w:rsidP="00E728E0">
      <w:pPr>
        <w:spacing w:after="0" w:line="240" w:lineRule="auto"/>
      </w:pPr>
      <w:r>
        <w:separator/>
      </w:r>
    </w:p>
  </w:footnote>
  <w:footnote w:type="continuationSeparator" w:id="0">
    <w:p w14:paraId="34E7E12E" w14:textId="77777777" w:rsidR="002E64F4" w:rsidRDefault="002E64F4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E15E5"/>
    <w:rsid w:val="00117812"/>
    <w:rsid w:val="001C037B"/>
    <w:rsid w:val="00261853"/>
    <w:rsid w:val="002904EE"/>
    <w:rsid w:val="002B412D"/>
    <w:rsid w:val="002C66C2"/>
    <w:rsid w:val="002E64F4"/>
    <w:rsid w:val="002F7D71"/>
    <w:rsid w:val="00304E8C"/>
    <w:rsid w:val="003066A3"/>
    <w:rsid w:val="003469FF"/>
    <w:rsid w:val="0042338E"/>
    <w:rsid w:val="00437F88"/>
    <w:rsid w:val="004B5D90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11F9"/>
    <w:rsid w:val="00766C38"/>
    <w:rsid w:val="00794D9F"/>
    <w:rsid w:val="007D71FA"/>
    <w:rsid w:val="007F5EAC"/>
    <w:rsid w:val="00807E2F"/>
    <w:rsid w:val="0085148C"/>
    <w:rsid w:val="008A446C"/>
    <w:rsid w:val="008B76F2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A853F1"/>
    <w:rsid w:val="00AF6518"/>
    <w:rsid w:val="00B35D79"/>
    <w:rsid w:val="00C25911"/>
    <w:rsid w:val="00CB51FA"/>
    <w:rsid w:val="00DA4329"/>
    <w:rsid w:val="00E670A8"/>
    <w:rsid w:val="00E67549"/>
    <w:rsid w:val="00E728E0"/>
    <w:rsid w:val="00E7315D"/>
    <w:rsid w:val="00E77E1F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A85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A85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12D"/>
    <w:rPr>
      <w:color w:val="0000FF"/>
      <w:u w:val="single"/>
    </w:rPr>
  </w:style>
  <w:style w:type="paragraph" w:customStyle="1" w:styleId="wp-caption-text">
    <w:name w:val="wp-caption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A853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A853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btitulo">
    <w:name w:val="subtitulo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ate-part">
    <w:name w:val="date-part"/>
    <w:basedOn w:val="Fuentedeprrafopredeter"/>
    <w:rsid w:val="00A853F1"/>
  </w:style>
  <w:style w:type="paragraph" w:customStyle="1" w:styleId="text-align-center">
    <w:name w:val="text-align-center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keep-reading-text">
    <w:name w:val="keep-reading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6643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9400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3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54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08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5430">
                  <w:marLeft w:val="0"/>
                  <w:marRight w:val="0"/>
                  <w:marTop w:val="540"/>
                  <w:marBottom w:val="540"/>
                  <w:divBdr>
                    <w:top w:val="single" w:sz="6" w:space="6" w:color="CCCCCC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9365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28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Antonella  Schiantarelli</cp:lastModifiedBy>
  <cp:revision>3</cp:revision>
  <dcterms:created xsi:type="dcterms:W3CDTF">2026-02-09T15:00:00Z</dcterms:created>
  <dcterms:modified xsi:type="dcterms:W3CDTF">2026-02-19T13:55:00Z</dcterms:modified>
</cp:coreProperties>
</file>