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16C89" w14:textId="77777777" w:rsidR="0049116A" w:rsidRDefault="0049116A" w:rsidP="0018004B">
      <w:pPr>
        <w:rPr>
          <w:b/>
          <w:bCs/>
        </w:rPr>
      </w:pPr>
    </w:p>
    <w:p w14:paraId="57BD887A" w14:textId="77777777" w:rsidR="0049116A" w:rsidRDefault="00B961A7">
      <w:pPr>
        <w:jc w:val="center"/>
        <w:rPr>
          <w:b/>
          <w:bCs/>
        </w:rPr>
      </w:pPr>
      <w:r>
        <w:rPr>
          <w:b/>
          <w:bCs/>
        </w:rPr>
        <w:t>Del Cono Sur al mundo: Desde los organismos regionales debatieron cómo trabajar en estrategias de innovación conjuntas</w:t>
      </w:r>
    </w:p>
    <w:p w14:paraId="1D299FD1" w14:textId="77777777" w:rsidR="0049116A" w:rsidRDefault="0049116A">
      <w:pPr>
        <w:jc w:val="both"/>
        <w:rPr>
          <w:i/>
          <w:iCs/>
        </w:rPr>
      </w:pPr>
    </w:p>
    <w:p w14:paraId="60E4D331" w14:textId="77777777" w:rsidR="0049116A" w:rsidRDefault="00B961A7">
      <w:pPr>
        <w:spacing w:line="240" w:lineRule="auto"/>
        <w:jc w:val="center"/>
        <w:rPr>
          <w:i/>
          <w:iCs/>
        </w:rPr>
      </w:pPr>
      <w:r>
        <w:rPr>
          <w:i/>
          <w:iCs/>
        </w:rPr>
        <w:t xml:space="preserve">En un panel exclusivo, los máximos directivos de los </w:t>
      </w:r>
      <w:r>
        <w:rPr>
          <w:i/>
          <w:iCs/>
          <w:color w:val="141414"/>
        </w:rPr>
        <w:t>Institutos Nacionales de Investigación Agropecuaria (</w:t>
      </w:r>
      <w:proofErr w:type="spellStart"/>
      <w:r>
        <w:rPr>
          <w:i/>
          <w:iCs/>
          <w:color w:val="141414"/>
        </w:rPr>
        <w:t>INIAs</w:t>
      </w:r>
      <w:proofErr w:type="spellEnd"/>
      <w:r>
        <w:rPr>
          <w:i/>
          <w:iCs/>
          <w:color w:val="141414"/>
        </w:rPr>
        <w:t>) de Argentina, Chile, Ur</w:t>
      </w:r>
      <w:r>
        <w:rPr>
          <w:i/>
          <w:iCs/>
          <w:color w:val="141414"/>
        </w:rPr>
        <w:t>uguay, Brasil y Paraguay abordaron los desafíos de escalar la innovación en el agro.</w:t>
      </w:r>
    </w:p>
    <w:p w14:paraId="4586D678" w14:textId="77777777" w:rsidR="0049116A" w:rsidRDefault="0049116A">
      <w:pPr>
        <w:spacing w:line="240" w:lineRule="auto"/>
        <w:jc w:val="both"/>
      </w:pPr>
    </w:p>
    <w:p w14:paraId="5307BACF" w14:textId="77777777" w:rsidR="0049116A" w:rsidRDefault="0049116A">
      <w:pPr>
        <w:spacing w:line="240" w:lineRule="auto"/>
        <w:jc w:val="both"/>
      </w:pPr>
    </w:p>
    <w:p w14:paraId="6A9680EC" w14:textId="77777777" w:rsidR="0049116A" w:rsidRDefault="00B961A7">
      <w:pPr>
        <w:spacing w:line="240" w:lineRule="auto"/>
        <w:jc w:val="both"/>
        <w:rPr>
          <w:b/>
          <w:bCs/>
        </w:rPr>
      </w:pPr>
      <w:r>
        <w:t>La innovación en tecnología regional fue uno de los temas c</w:t>
      </w:r>
      <w:r>
        <w:t xml:space="preserve">entrales durante la primera jornada de la </w:t>
      </w:r>
      <w:r>
        <w:rPr>
          <w:color w:val="000000"/>
        </w:rPr>
        <w:t xml:space="preserve">34° edición del </w:t>
      </w:r>
      <w:r>
        <w:rPr>
          <w:b/>
          <w:bCs/>
          <w:color w:val="000000"/>
        </w:rPr>
        <w:t xml:space="preserve">Congreso </w:t>
      </w:r>
      <w:proofErr w:type="spellStart"/>
      <w:r>
        <w:rPr>
          <w:b/>
          <w:bCs/>
          <w:color w:val="000000"/>
        </w:rPr>
        <w:t>Aapresid</w:t>
      </w:r>
      <w:proofErr w:type="spellEnd"/>
      <w:r>
        <w:rPr>
          <w:b/>
          <w:bCs/>
        </w:rPr>
        <w:t xml:space="preserve"> co</w:t>
      </w:r>
      <w:r>
        <w:rPr>
          <w:b/>
          <w:bCs/>
          <w:color w:val="000000"/>
        </w:rPr>
        <w:t>n la fuerza de Expoagro</w:t>
      </w:r>
      <w:r>
        <w:rPr>
          <w:color w:val="000000"/>
        </w:rPr>
        <w:t xml:space="preserve">, que se desarrolla hasta el 6 de agosto en el Salón Metropolitano de Rosario bajo el lema </w:t>
      </w:r>
      <w:r>
        <w:rPr>
          <w:b/>
          <w:bCs/>
          <w:color w:val="000000"/>
        </w:rPr>
        <w:t>“Nuestro Suelo, Nuestra Voz”.</w:t>
      </w:r>
    </w:p>
    <w:p w14:paraId="2ADCC2E4" w14:textId="77777777" w:rsidR="0049116A" w:rsidRDefault="0049116A">
      <w:pPr>
        <w:spacing w:line="240" w:lineRule="auto"/>
        <w:jc w:val="both"/>
        <w:rPr>
          <w:color w:val="000000"/>
        </w:rPr>
      </w:pPr>
    </w:p>
    <w:p w14:paraId="722D608B" w14:textId="77777777" w:rsidR="0049116A" w:rsidRDefault="00B961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 w:line="240" w:lineRule="auto"/>
        <w:jc w:val="both"/>
        <w:rPr>
          <w:b/>
          <w:bCs/>
          <w:color w:val="000000"/>
        </w:rPr>
      </w:pPr>
      <w:r>
        <w:rPr>
          <w:color w:val="000000"/>
        </w:rPr>
        <w:t xml:space="preserve">En la </w:t>
      </w:r>
      <w:r>
        <w:rPr>
          <w:b/>
          <w:bCs/>
          <w:color w:val="000000"/>
        </w:rPr>
        <w:t>Sala Bayer</w:t>
      </w:r>
      <w:r>
        <w:rPr>
          <w:color w:val="000000"/>
        </w:rPr>
        <w:t xml:space="preserve">, el panel </w:t>
      </w:r>
      <w:r>
        <w:rPr>
          <w:b/>
          <w:bCs/>
        </w:rPr>
        <w:t>“</w:t>
      </w:r>
      <w:proofErr w:type="spellStart"/>
      <w:r>
        <w:rPr>
          <w:b/>
          <w:bCs/>
          <w:i/>
          <w:iCs/>
          <w:color w:val="000000"/>
        </w:rPr>
        <w:t>INIAs</w:t>
      </w:r>
      <w:proofErr w:type="spellEnd"/>
      <w:r>
        <w:rPr>
          <w:b/>
          <w:bCs/>
          <w:i/>
          <w:iCs/>
          <w:color w:val="000000"/>
        </w:rPr>
        <w:t xml:space="preserve"> Cono Sur: ¿</w:t>
      </w:r>
      <w:r>
        <w:rPr>
          <w:b/>
          <w:bCs/>
          <w:i/>
          <w:iCs/>
        </w:rPr>
        <w:t>C</w:t>
      </w:r>
      <w:r>
        <w:rPr>
          <w:b/>
          <w:bCs/>
          <w:i/>
          <w:iCs/>
          <w:color w:val="000000"/>
        </w:rPr>
        <w:t>ómo escalar la innovación que el agro necesita?</w:t>
      </w:r>
      <w:r>
        <w:rPr>
          <w:b/>
          <w:bCs/>
          <w:i/>
          <w:iCs/>
        </w:rPr>
        <w:t>”</w:t>
      </w:r>
      <w:r>
        <w:rPr>
          <w:color w:val="000000"/>
        </w:rPr>
        <w:t xml:space="preserve"> </w:t>
      </w:r>
      <w:r>
        <w:rPr>
          <w:color w:val="141414"/>
        </w:rPr>
        <w:t>reunió a los máximos referentes de los Institutos Nacionales de Investigación Agropecuaria (</w:t>
      </w:r>
      <w:proofErr w:type="spellStart"/>
      <w:r>
        <w:rPr>
          <w:color w:val="141414"/>
        </w:rPr>
        <w:t>INIAs</w:t>
      </w:r>
      <w:proofErr w:type="spellEnd"/>
      <w:r>
        <w:rPr>
          <w:color w:val="141414"/>
        </w:rPr>
        <w:t xml:space="preserve">) de Latinoamérica: </w:t>
      </w:r>
      <w:r>
        <w:rPr>
          <w:b/>
          <w:bCs/>
          <w:color w:val="000000"/>
        </w:rPr>
        <w:t xml:space="preserve">Silvia </w:t>
      </w:r>
      <w:proofErr w:type="spellStart"/>
      <w:r>
        <w:rPr>
          <w:b/>
          <w:bCs/>
          <w:color w:val="000000"/>
        </w:rPr>
        <w:t>Massruhá</w:t>
      </w:r>
      <w:proofErr w:type="spellEnd"/>
      <w:r>
        <w:rPr>
          <w:b/>
          <w:bCs/>
          <w:color w:val="000000"/>
        </w:rPr>
        <w:t xml:space="preserve">, presidente de </w:t>
      </w:r>
      <w:proofErr w:type="spellStart"/>
      <w:r>
        <w:rPr>
          <w:b/>
          <w:bCs/>
          <w:color w:val="000000"/>
        </w:rPr>
        <w:t>Embrapa</w:t>
      </w:r>
      <w:proofErr w:type="spellEnd"/>
      <w:r>
        <w:rPr>
          <w:b/>
          <w:bCs/>
          <w:color w:val="000000"/>
        </w:rPr>
        <w:t xml:space="preserve"> (Brasil); Carlos </w:t>
      </w:r>
      <w:proofErr w:type="spellStart"/>
      <w:r>
        <w:rPr>
          <w:b/>
          <w:bCs/>
          <w:color w:val="000000"/>
        </w:rPr>
        <w:t>Furche</w:t>
      </w:r>
      <w:proofErr w:type="spellEnd"/>
      <w:r>
        <w:rPr>
          <w:b/>
          <w:bCs/>
          <w:color w:val="000000"/>
        </w:rPr>
        <w:t>, director nacional de INIA Chile; Miguel Sierra, presidente de INIA Uruguay;</w:t>
      </w:r>
      <w:r>
        <w:rPr>
          <w:b/>
          <w:bCs/>
          <w:color w:val="000000"/>
        </w:rPr>
        <w:t xml:space="preserve"> Orlando </w:t>
      </w:r>
      <w:proofErr w:type="spellStart"/>
      <w:r>
        <w:rPr>
          <w:b/>
          <w:bCs/>
          <w:color w:val="000000"/>
        </w:rPr>
        <w:t>Noldin</w:t>
      </w:r>
      <w:proofErr w:type="spellEnd"/>
      <w:r>
        <w:rPr>
          <w:b/>
          <w:bCs/>
          <w:color w:val="000000"/>
        </w:rPr>
        <w:t xml:space="preserve">, director general de Programas de Investigación en IPTA Paraguay; y Nicolás </w:t>
      </w:r>
      <w:proofErr w:type="spellStart"/>
      <w:r>
        <w:rPr>
          <w:b/>
          <w:bCs/>
          <w:color w:val="000000"/>
        </w:rPr>
        <w:t>Bronzovich</w:t>
      </w:r>
      <w:proofErr w:type="spellEnd"/>
      <w:r>
        <w:rPr>
          <w:b/>
          <w:bCs/>
          <w:color w:val="000000"/>
        </w:rPr>
        <w:t>, presidente de INTA (Argentina).</w:t>
      </w:r>
    </w:p>
    <w:p w14:paraId="51DDABC8" w14:textId="77777777" w:rsidR="0049116A" w:rsidRDefault="00B961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 w:line="240" w:lineRule="auto"/>
        <w:jc w:val="both"/>
        <w:rPr>
          <w:b/>
          <w:bCs/>
        </w:rPr>
      </w:pPr>
      <w:r>
        <w:rPr>
          <w:b/>
          <w:bCs/>
        </w:rPr>
        <w:t>Las propuestas de cada país</w:t>
      </w:r>
    </w:p>
    <w:p w14:paraId="4013F817" w14:textId="77777777" w:rsidR="0049116A" w:rsidRDefault="00B961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 w:line="240" w:lineRule="auto"/>
        <w:jc w:val="both"/>
        <w:rPr>
          <w:color w:val="141414"/>
        </w:rPr>
      </w:pPr>
      <w:r>
        <w:t xml:space="preserve">Con la </w:t>
      </w:r>
      <w:r>
        <w:rPr>
          <w:b/>
          <w:bCs/>
        </w:rPr>
        <w:t xml:space="preserve">moderación por parte de la Pte. de SENASA, </w:t>
      </w:r>
      <w:proofErr w:type="spellStart"/>
      <w:r>
        <w:rPr>
          <w:b/>
          <w:bCs/>
        </w:rPr>
        <w:t>Maria</w:t>
      </w:r>
      <w:proofErr w:type="spellEnd"/>
      <w:r>
        <w:rPr>
          <w:b/>
          <w:bCs/>
        </w:rPr>
        <w:t xml:space="preserve"> Beatriz “</w:t>
      </w:r>
      <w:proofErr w:type="spellStart"/>
      <w:r>
        <w:rPr>
          <w:b/>
          <w:bCs/>
        </w:rPr>
        <w:t>Pilu</w:t>
      </w:r>
      <w:proofErr w:type="spellEnd"/>
      <w:r>
        <w:rPr>
          <w:b/>
          <w:bCs/>
        </w:rPr>
        <w:t xml:space="preserve">” </w:t>
      </w:r>
      <w:proofErr w:type="spellStart"/>
      <w:r>
        <w:rPr>
          <w:b/>
          <w:bCs/>
        </w:rPr>
        <w:t>Giraudo</w:t>
      </w:r>
      <w:proofErr w:type="spellEnd"/>
      <w:r>
        <w:t>, l</w:t>
      </w:r>
      <w:r>
        <w:rPr>
          <w:color w:val="000000"/>
        </w:rPr>
        <w:t>os funciona</w:t>
      </w:r>
      <w:r>
        <w:rPr>
          <w:color w:val="000000"/>
        </w:rPr>
        <w:t xml:space="preserve">rios que participaron del encuentro coincidieron </w:t>
      </w:r>
      <w:r>
        <w:t xml:space="preserve">en </w:t>
      </w:r>
      <w:r>
        <w:rPr>
          <w:color w:val="000000"/>
        </w:rPr>
        <w:t xml:space="preserve">la importancia de la </w:t>
      </w:r>
      <w:r>
        <w:rPr>
          <w:color w:val="141414"/>
        </w:rPr>
        <w:t xml:space="preserve">cooperación regional entre los cinco países y su integración en el </w:t>
      </w:r>
      <w:r>
        <w:rPr>
          <w:b/>
          <w:bCs/>
          <w:color w:val="000000"/>
          <w:highlight w:val="white"/>
        </w:rPr>
        <w:t>Programa Cooperativo para el Desarrollo Tecnológico Agroalimentario y Agroindustrial del Cono Sur (PROCISUR)</w:t>
      </w:r>
      <w:r>
        <w:rPr>
          <w:color w:val="000000"/>
          <w:highlight w:val="white"/>
        </w:rPr>
        <w:t xml:space="preserve"> como in</w:t>
      </w:r>
      <w:r>
        <w:rPr>
          <w:color w:val="000000"/>
          <w:highlight w:val="white"/>
        </w:rPr>
        <w:t>strumento</w:t>
      </w:r>
      <w:r>
        <w:rPr>
          <w:b/>
          <w:bCs/>
          <w:color w:val="000000"/>
          <w:highlight w:val="white"/>
        </w:rPr>
        <w:t xml:space="preserve"> </w:t>
      </w:r>
      <w:r>
        <w:rPr>
          <w:color w:val="141414"/>
        </w:rPr>
        <w:t>para acelerar la innovación y la transferencia de conocimiento hacia los productores.</w:t>
      </w:r>
    </w:p>
    <w:p w14:paraId="59215B6D" w14:textId="77777777" w:rsidR="0049116A" w:rsidRDefault="00B961A7">
      <w:pPr>
        <w:spacing w:line="240" w:lineRule="auto"/>
        <w:jc w:val="both"/>
      </w:pPr>
      <w:r>
        <w:t xml:space="preserve">A pesar de las particularidades que presenta cada país, </w:t>
      </w:r>
      <w:r>
        <w:rPr>
          <w:b/>
          <w:bCs/>
        </w:rPr>
        <w:t>el principal desafío que observan es la necesidad de lograr un escalado de la innovación en el agro</w:t>
      </w:r>
      <w:r>
        <w:t xml:space="preserve">. </w:t>
      </w:r>
    </w:p>
    <w:p w14:paraId="157098DB" w14:textId="77777777" w:rsidR="0049116A" w:rsidRDefault="0049116A">
      <w:pPr>
        <w:spacing w:line="240" w:lineRule="auto"/>
        <w:jc w:val="both"/>
      </w:pPr>
    </w:p>
    <w:p w14:paraId="1BA4CB59" w14:textId="77777777" w:rsidR="0049116A" w:rsidRDefault="00B961A7">
      <w:pPr>
        <w:spacing w:line="240" w:lineRule="auto"/>
        <w:jc w:val="both"/>
        <w:rPr>
          <w:i/>
          <w:iCs/>
        </w:rPr>
      </w:pPr>
      <w:r>
        <w:t xml:space="preserve">En este sentido, el </w:t>
      </w:r>
      <w:r>
        <w:rPr>
          <w:b/>
          <w:bCs/>
        </w:rPr>
        <w:t>presidente del INAI Ur</w:t>
      </w:r>
      <w:r>
        <w:rPr>
          <w:b/>
          <w:bCs/>
        </w:rPr>
        <w:t>uguay, Miguel Sierra</w:t>
      </w:r>
      <w:r>
        <w:t xml:space="preserve">, mencionó dos dimensiones a tener en cuenta. Una de ellas, puntualizó, la </w:t>
      </w:r>
      <w:r>
        <w:rPr>
          <w:b/>
          <w:bCs/>
        </w:rPr>
        <w:t>madurez tecnológica</w:t>
      </w:r>
      <w:r>
        <w:t>,</w:t>
      </w:r>
      <w:r>
        <w:rPr>
          <w:i/>
          <w:iCs/>
        </w:rPr>
        <w:t xml:space="preserve"> “porque América Latina está en un estado de desarrollo muy primario y hay entender cómo llevar las publicaciones científicas a esa escala”</w:t>
      </w:r>
    </w:p>
    <w:p w14:paraId="1C19DB3E" w14:textId="77777777" w:rsidR="0049116A" w:rsidRDefault="0049116A">
      <w:pPr>
        <w:spacing w:line="240" w:lineRule="auto"/>
        <w:jc w:val="both"/>
        <w:rPr>
          <w:i/>
          <w:iCs/>
        </w:rPr>
      </w:pPr>
    </w:p>
    <w:p w14:paraId="26FC9F0F" w14:textId="77777777" w:rsidR="0049116A" w:rsidRDefault="00B961A7">
      <w:pPr>
        <w:spacing w:line="240" w:lineRule="auto"/>
        <w:jc w:val="both"/>
      </w:pPr>
      <w:r>
        <w:rPr>
          <w:i/>
          <w:iCs/>
        </w:rPr>
        <w:t xml:space="preserve">“Es bueno publicar </w:t>
      </w:r>
      <w:proofErr w:type="spellStart"/>
      <w:proofErr w:type="gramStart"/>
      <w:r>
        <w:rPr>
          <w:i/>
          <w:iCs/>
        </w:rPr>
        <w:t>papers</w:t>
      </w:r>
      <w:proofErr w:type="spellEnd"/>
      <w:proofErr w:type="gramEnd"/>
      <w:r>
        <w:rPr>
          <w:i/>
          <w:iCs/>
        </w:rPr>
        <w:t xml:space="preserve"> pero es mucho mejor si desarrollamos tecnologías que tengan impacto y transformen la realidad de los productores</w:t>
      </w:r>
      <w:r>
        <w:t>”, afirmó.</w:t>
      </w:r>
    </w:p>
    <w:p w14:paraId="446ECB81" w14:textId="77777777" w:rsidR="0049116A" w:rsidRDefault="0049116A">
      <w:pPr>
        <w:spacing w:line="240" w:lineRule="auto"/>
        <w:jc w:val="both"/>
      </w:pPr>
    </w:p>
    <w:p w14:paraId="6981F185" w14:textId="77777777" w:rsidR="0049116A" w:rsidRDefault="00B961A7">
      <w:pPr>
        <w:spacing w:line="240" w:lineRule="auto"/>
        <w:jc w:val="both"/>
      </w:pPr>
      <w:r>
        <w:t xml:space="preserve">Por otra parte, Sierra también hizo referencia al </w:t>
      </w:r>
      <w:r>
        <w:rPr>
          <w:b/>
          <w:bCs/>
        </w:rPr>
        <w:t xml:space="preserve">abordaje integral, </w:t>
      </w:r>
      <w:r>
        <w:t>el cual, afirmó,</w:t>
      </w:r>
      <w:r>
        <w:rPr>
          <w:b/>
          <w:bCs/>
        </w:rPr>
        <w:t xml:space="preserve"> </w:t>
      </w:r>
      <w:r>
        <w:t>“</w:t>
      </w:r>
      <w:r>
        <w:rPr>
          <w:i/>
          <w:iCs/>
        </w:rPr>
        <w:t>debe tener en cuent</w:t>
      </w:r>
      <w:r>
        <w:rPr>
          <w:i/>
          <w:iCs/>
        </w:rPr>
        <w:t>a la transferencia de tecnología, la IA, la gobernanza de las plataformas, la propiedad intelectual y el uso de datos, entre otros aspectos</w:t>
      </w:r>
      <w:r>
        <w:t>”. Además, afirmó que “</w:t>
      </w:r>
      <w:r>
        <w:rPr>
          <w:i/>
          <w:iCs/>
        </w:rPr>
        <w:t xml:space="preserve">en cada lugar, el escalado debe ser articulado por actores sociales, políticos, científicos y </w:t>
      </w:r>
      <w:r>
        <w:rPr>
          <w:i/>
          <w:iCs/>
        </w:rPr>
        <w:t>empresariales que lo hagan efectivo</w:t>
      </w:r>
      <w:r>
        <w:t>”.</w:t>
      </w:r>
    </w:p>
    <w:p w14:paraId="391B7D78" w14:textId="77777777" w:rsidR="0049116A" w:rsidRDefault="0049116A">
      <w:pPr>
        <w:spacing w:line="240" w:lineRule="auto"/>
        <w:jc w:val="both"/>
      </w:pPr>
    </w:p>
    <w:p w14:paraId="6EA92BA0" w14:textId="77777777" w:rsidR="0049116A" w:rsidRDefault="00B961A7">
      <w:pPr>
        <w:spacing w:line="240" w:lineRule="auto"/>
        <w:jc w:val="both"/>
      </w:pPr>
      <w:r>
        <w:t xml:space="preserve">Un aspecto fundamental que destacó la </w:t>
      </w:r>
      <w:r>
        <w:rPr>
          <w:b/>
          <w:bCs/>
        </w:rPr>
        <w:t xml:space="preserve">presidente de </w:t>
      </w:r>
      <w:proofErr w:type="spellStart"/>
      <w:r>
        <w:rPr>
          <w:b/>
          <w:bCs/>
        </w:rPr>
        <w:t>Embrapa</w:t>
      </w:r>
      <w:proofErr w:type="spellEnd"/>
      <w:r>
        <w:rPr>
          <w:b/>
          <w:bCs/>
        </w:rPr>
        <w:t xml:space="preserve">, Silvia </w:t>
      </w:r>
      <w:proofErr w:type="spellStart"/>
      <w:r>
        <w:rPr>
          <w:b/>
          <w:bCs/>
        </w:rPr>
        <w:t>Massruhá</w:t>
      </w:r>
      <w:proofErr w:type="spellEnd"/>
      <w:r>
        <w:t xml:space="preserve">, fue la necesidad de </w:t>
      </w:r>
      <w:r>
        <w:rPr>
          <w:b/>
          <w:bCs/>
        </w:rPr>
        <w:t>medir el impacto</w:t>
      </w:r>
      <w:r>
        <w:t xml:space="preserve"> que puede generar el escalado tecnológico tanto en lo ambiental como en lo social y usar las nuevas te</w:t>
      </w:r>
      <w:r>
        <w:t xml:space="preserve">cnologías para gestionar el riesgo y </w:t>
      </w:r>
      <w:r>
        <w:rPr>
          <w:b/>
          <w:bCs/>
        </w:rPr>
        <w:t>generar una agricultura preventiva</w:t>
      </w:r>
      <w:r>
        <w:t xml:space="preserve">. </w:t>
      </w:r>
    </w:p>
    <w:p w14:paraId="6AFB7A74" w14:textId="77777777" w:rsidR="0049116A" w:rsidRDefault="0049116A">
      <w:pPr>
        <w:spacing w:line="240" w:lineRule="auto"/>
        <w:jc w:val="both"/>
      </w:pPr>
    </w:p>
    <w:p w14:paraId="4C95B28B" w14:textId="77777777" w:rsidR="0049116A" w:rsidRDefault="00B961A7">
      <w:pPr>
        <w:spacing w:line="240" w:lineRule="auto"/>
        <w:jc w:val="both"/>
      </w:pPr>
      <w:r>
        <w:lastRenderedPageBreak/>
        <w:t>“</w:t>
      </w:r>
      <w:r>
        <w:rPr>
          <w:i/>
          <w:iCs/>
        </w:rPr>
        <w:t xml:space="preserve">Ya no sirven investigaciones que demoren 10 o 15 años en obtener una innovación, porque el mundo camina mucho más rápido que eso, por lo </w:t>
      </w:r>
      <w:proofErr w:type="gramStart"/>
      <w:r>
        <w:rPr>
          <w:i/>
          <w:iCs/>
        </w:rPr>
        <w:t>tanto</w:t>
      </w:r>
      <w:proofErr w:type="gramEnd"/>
      <w:r>
        <w:rPr>
          <w:i/>
          <w:iCs/>
        </w:rPr>
        <w:t xml:space="preserve"> </w:t>
      </w:r>
      <w:r>
        <w:rPr>
          <w:b/>
          <w:bCs/>
          <w:i/>
          <w:iCs/>
        </w:rPr>
        <w:t>necesitamos que el proceso de investi</w:t>
      </w:r>
      <w:r>
        <w:rPr>
          <w:b/>
          <w:bCs/>
          <w:i/>
          <w:iCs/>
        </w:rPr>
        <w:t>gación e innovación se acelere</w:t>
      </w:r>
      <w:r>
        <w:t xml:space="preserve">”, afirmó, a su turno, </w:t>
      </w:r>
      <w:r>
        <w:rPr>
          <w:b/>
          <w:bCs/>
        </w:rPr>
        <w:t xml:space="preserve">Carlos </w:t>
      </w:r>
      <w:proofErr w:type="spellStart"/>
      <w:r>
        <w:rPr>
          <w:b/>
          <w:bCs/>
        </w:rPr>
        <w:t>Furche</w:t>
      </w:r>
      <w:proofErr w:type="spellEnd"/>
      <w:r>
        <w:rPr>
          <w:b/>
          <w:bCs/>
        </w:rPr>
        <w:t>, director nacional de INIA Chile</w:t>
      </w:r>
      <w:r>
        <w:t>.</w:t>
      </w:r>
    </w:p>
    <w:p w14:paraId="2DA56658" w14:textId="77777777" w:rsidR="0049116A" w:rsidRDefault="0049116A">
      <w:pPr>
        <w:spacing w:line="240" w:lineRule="auto"/>
        <w:jc w:val="both"/>
      </w:pPr>
    </w:p>
    <w:p w14:paraId="3D5411F7" w14:textId="77777777" w:rsidR="0049116A" w:rsidRDefault="00B961A7">
      <w:pPr>
        <w:spacing w:line="240" w:lineRule="auto"/>
        <w:jc w:val="both"/>
        <w:rPr>
          <w:i/>
          <w:iCs/>
        </w:rPr>
      </w:pPr>
      <w:r>
        <w:t>En cuanto a los desafíos de la transformaci</w:t>
      </w:r>
      <w:r>
        <w:t xml:space="preserve">ón digital, el </w:t>
      </w:r>
      <w:r>
        <w:rPr>
          <w:b/>
          <w:bCs/>
        </w:rPr>
        <w:t xml:space="preserve">presidente del INTA, Nicolás </w:t>
      </w:r>
      <w:proofErr w:type="spellStart"/>
      <w:r>
        <w:rPr>
          <w:b/>
          <w:bCs/>
        </w:rPr>
        <w:t>Bronzovich</w:t>
      </w:r>
      <w:proofErr w:type="spellEnd"/>
      <w:r>
        <w:t>, indicó que “</w:t>
      </w:r>
      <w:r>
        <w:rPr>
          <w:i/>
          <w:iCs/>
        </w:rPr>
        <w:t>la agenda ya está definida por el mercado</w:t>
      </w:r>
      <w:r>
        <w:t>”. Sin delegar la responsabilidad del Estado y los organismos públicos, también remarcó el rol que deben tener los privados para “</w:t>
      </w:r>
      <w:r>
        <w:rPr>
          <w:i/>
          <w:iCs/>
        </w:rPr>
        <w:t xml:space="preserve">pasar de ser ejecutores de proyectos de investigación a </w:t>
      </w:r>
      <w:r>
        <w:rPr>
          <w:b/>
          <w:bCs/>
          <w:i/>
          <w:iCs/>
        </w:rPr>
        <w:t>ser plataformas donde la investigación ocurre</w:t>
      </w:r>
      <w:r>
        <w:rPr>
          <w:i/>
          <w:iCs/>
        </w:rPr>
        <w:t xml:space="preserve">”. </w:t>
      </w:r>
    </w:p>
    <w:p w14:paraId="5D41FBF5" w14:textId="77777777" w:rsidR="0049116A" w:rsidRDefault="0049116A">
      <w:pPr>
        <w:spacing w:line="240" w:lineRule="auto"/>
        <w:jc w:val="both"/>
      </w:pPr>
    </w:p>
    <w:p w14:paraId="476BCDEE" w14:textId="77777777" w:rsidR="0049116A" w:rsidRDefault="00B961A7">
      <w:pPr>
        <w:spacing w:line="240" w:lineRule="auto"/>
        <w:jc w:val="both"/>
        <w:rPr>
          <w:i/>
          <w:iCs/>
        </w:rPr>
      </w:pPr>
      <w:r>
        <w:t xml:space="preserve">En el caso de Paraguay, el </w:t>
      </w:r>
      <w:r>
        <w:rPr>
          <w:b/>
          <w:bCs/>
        </w:rPr>
        <w:t xml:space="preserve">referente del IPTA Orlando </w:t>
      </w:r>
      <w:proofErr w:type="spellStart"/>
      <w:r>
        <w:rPr>
          <w:b/>
          <w:bCs/>
        </w:rPr>
        <w:t>Noldin</w:t>
      </w:r>
      <w:proofErr w:type="spellEnd"/>
      <w:r>
        <w:rPr>
          <w:b/>
          <w:bCs/>
        </w:rPr>
        <w:t xml:space="preserve"> </w:t>
      </w:r>
      <w:r>
        <w:t>comentó cómo trabajan en reformular sus políticas para lograr el objetivo de “hambre cero</w:t>
      </w:r>
      <w:r>
        <w:t>”.</w:t>
      </w:r>
    </w:p>
    <w:p w14:paraId="0DC7FAD5" w14:textId="77777777" w:rsidR="0049116A" w:rsidRDefault="0049116A">
      <w:pPr>
        <w:spacing w:line="240" w:lineRule="auto"/>
        <w:jc w:val="both"/>
        <w:rPr>
          <w:b/>
          <w:bCs/>
        </w:rPr>
      </w:pPr>
    </w:p>
    <w:p w14:paraId="4BEE68E9" w14:textId="77777777" w:rsidR="0049116A" w:rsidRDefault="00B961A7">
      <w:pPr>
        <w:spacing w:line="240" w:lineRule="auto"/>
        <w:jc w:val="both"/>
      </w:pPr>
      <w:r>
        <w:rPr>
          <w:b/>
          <w:bCs/>
        </w:rPr>
        <w:t xml:space="preserve">El rol de los </w:t>
      </w:r>
      <w:proofErr w:type="spellStart"/>
      <w:r>
        <w:rPr>
          <w:b/>
          <w:bCs/>
        </w:rPr>
        <w:t>INIAs</w:t>
      </w:r>
      <w:proofErr w:type="spellEnd"/>
    </w:p>
    <w:p w14:paraId="143BA0F1" w14:textId="77777777" w:rsidR="0049116A" w:rsidRDefault="0049116A">
      <w:pPr>
        <w:spacing w:line="240" w:lineRule="auto"/>
        <w:jc w:val="both"/>
      </w:pPr>
    </w:p>
    <w:p w14:paraId="4E99FF6A" w14:textId="77777777" w:rsidR="0049116A" w:rsidRDefault="00B961A7">
      <w:pPr>
        <w:spacing w:line="240" w:lineRule="auto"/>
        <w:jc w:val="both"/>
      </w:pPr>
      <w:r>
        <w:t xml:space="preserve">Desde PROCISUR, los representantes de los cinco </w:t>
      </w:r>
      <w:proofErr w:type="spellStart"/>
      <w:r>
        <w:t>INIAs</w:t>
      </w:r>
      <w:proofErr w:type="spellEnd"/>
      <w:r>
        <w:t xml:space="preserve"> expresaron que se encuentran gestionando </w:t>
      </w:r>
      <w:r>
        <w:rPr>
          <w:b/>
          <w:bCs/>
        </w:rPr>
        <w:t>plataformas regionales de innovación con actores públicos y privados</w:t>
      </w:r>
      <w:r>
        <w:t>. “</w:t>
      </w:r>
      <w:r>
        <w:rPr>
          <w:i/>
          <w:iCs/>
        </w:rPr>
        <w:t>La conexión público privada es clave tanto en la financiación com</w:t>
      </w:r>
      <w:r>
        <w:rPr>
          <w:i/>
          <w:iCs/>
        </w:rPr>
        <w:t>o en las decisiones y los compartimentos de datos e información que se generen</w:t>
      </w:r>
      <w:r>
        <w:t>”, dijo Sierra.</w:t>
      </w:r>
    </w:p>
    <w:p w14:paraId="04E85263" w14:textId="77777777" w:rsidR="0049116A" w:rsidRDefault="0049116A">
      <w:pPr>
        <w:spacing w:line="240" w:lineRule="auto"/>
        <w:jc w:val="both"/>
      </w:pPr>
    </w:p>
    <w:p w14:paraId="5FAD6160" w14:textId="77777777" w:rsidR="0049116A" w:rsidRDefault="00B961A7">
      <w:pPr>
        <w:spacing w:line="240" w:lineRule="auto"/>
        <w:jc w:val="both"/>
      </w:pPr>
      <w:bookmarkStart w:id="0" w:name="_heading=h.kz30fdwxpzms" w:colFirst="0" w:colLast="0"/>
      <w:bookmarkEnd w:id="0"/>
      <w:r>
        <w:rPr>
          <w:i/>
          <w:iCs/>
        </w:rPr>
        <w:t>“La región tiene un</w:t>
      </w:r>
      <w:r>
        <w:t xml:space="preserve"> </w:t>
      </w:r>
      <w:r>
        <w:rPr>
          <w:i/>
          <w:iCs/>
        </w:rPr>
        <w:t>potencial enorme si compartimos de forma generosa y con propósito común, las capacidades científico técnicas, empresariales y de políticas qu</w:t>
      </w:r>
      <w:r>
        <w:rPr>
          <w:i/>
          <w:iCs/>
        </w:rPr>
        <w:t>e tenemos en la región que, en muchas cosas, son de avanzada en el mundo. Primero tenemos que creer que tenemos ese potencial y después debemos desafiarnos juntos para salir al mundo</w:t>
      </w:r>
      <w:r>
        <w:t>”, concluyó al respecto el directivo uruguayo.</w:t>
      </w:r>
    </w:p>
    <w:p w14:paraId="197D8FAC" w14:textId="77777777" w:rsidR="0049116A" w:rsidRDefault="0049116A">
      <w:pPr>
        <w:jc w:val="both"/>
        <w:rPr>
          <w:rFonts w:ascii="Calibri" w:eastAsia="Calibri" w:hAnsi="Calibri" w:cs="Calibri"/>
        </w:rPr>
      </w:pPr>
    </w:p>
    <w:p w14:paraId="00FD6D44" w14:textId="77777777" w:rsidR="0049116A" w:rsidRDefault="004911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 w:line="240" w:lineRule="auto"/>
        <w:jc w:val="both"/>
        <w:rPr>
          <w:color w:val="141414"/>
        </w:rPr>
      </w:pPr>
    </w:p>
    <w:sectPr w:rsidR="0049116A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9DB47" w14:textId="77777777" w:rsidR="00B961A7" w:rsidRDefault="00B961A7">
      <w:pPr>
        <w:spacing w:line="240" w:lineRule="auto"/>
      </w:pPr>
      <w:r>
        <w:separator/>
      </w:r>
    </w:p>
  </w:endnote>
  <w:endnote w:type="continuationSeparator" w:id="0">
    <w:p w14:paraId="142B63DC" w14:textId="77777777" w:rsidR="00B961A7" w:rsidRDefault="00B961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9B80931-9D12-4C23-9514-6E7FAF1097B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5ED0A07-2101-41BD-9D6B-5CB1EB88E1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B84A0" w14:textId="77777777" w:rsidR="0049116A" w:rsidRDefault="0049116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B1021" w14:textId="77777777" w:rsidR="00B961A7" w:rsidRDefault="00B961A7">
      <w:pPr>
        <w:spacing w:line="240" w:lineRule="auto"/>
      </w:pPr>
      <w:r>
        <w:separator/>
      </w:r>
    </w:p>
  </w:footnote>
  <w:footnote w:type="continuationSeparator" w:id="0">
    <w:p w14:paraId="28816A3B" w14:textId="77777777" w:rsidR="00B961A7" w:rsidRDefault="00B961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72DD5" w14:textId="77777777" w:rsidR="0049116A" w:rsidRDefault="00B961A7">
    <w:r>
      <w:rPr>
        <w:noProof/>
      </w:rPr>
      <w:drawing>
        <wp:anchor distT="0" distB="0" distL="0" distR="0" simplePos="0" relativeHeight="251658240" behindDoc="1" locked="0" layoutInCell="1" hidden="0" allowOverlap="1" wp14:anchorId="23B3588E" wp14:editId="3258FE3A">
          <wp:simplePos x="0" y="0"/>
          <wp:positionH relativeFrom="page">
            <wp:posOffset>-9519</wp:posOffset>
          </wp:positionH>
          <wp:positionV relativeFrom="page">
            <wp:posOffset>-47618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16A"/>
    <w:rsid w:val="0018004B"/>
    <w:rsid w:val="0049116A"/>
    <w:rsid w:val="00B865AA"/>
    <w:rsid w:val="00B9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9D625"/>
  <w15:docId w15:val="{0D6AC49C-4FDC-4CAF-9547-7DD1A1BA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AR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wJ1hcVvTcSwq67bIbyU/eIwLiA==">CgMxLjAyDmgua3ozMGZkd3hwem1zOAByITFuRWF5Vk1ndXY2c1dpaVZ2bWZVRFlXckZxYlJrYlZpYg==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664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Antonella  Schiantarelli</cp:lastModifiedBy>
  <cp:revision>3</cp:revision>
  <dcterms:created xsi:type="dcterms:W3CDTF">2026-08-04T22:15:00Z</dcterms:created>
  <dcterms:modified xsi:type="dcterms:W3CDTF">2026-08-04T22:40:00Z</dcterms:modified>
</cp:coreProperties>
</file>