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45EF9" w14:textId="77777777" w:rsidR="001C19C2" w:rsidRPr="00B40263" w:rsidRDefault="001C19C2" w:rsidP="00B40263">
      <w:pPr>
        <w:jc w:val="both"/>
        <w:rPr>
          <w:rFonts w:asciiTheme="minorHAnsi" w:eastAsia="Times New Roman" w:hAnsiTheme="minorHAnsi" w:cstheme="minorHAnsi"/>
          <w:color w:val="000000"/>
          <w:sz w:val="24"/>
          <w:szCs w:val="24"/>
        </w:rPr>
      </w:pPr>
    </w:p>
    <w:p w14:paraId="3F072698" w14:textId="732F5A69" w:rsidR="00B40263" w:rsidRPr="00B40263" w:rsidRDefault="00B40263" w:rsidP="00B40263">
      <w:pPr>
        <w:spacing w:before="100" w:beforeAutospacing="1" w:after="100" w:afterAutospacing="1" w:line="276" w:lineRule="auto"/>
        <w:jc w:val="center"/>
        <w:outlineLvl w:val="0"/>
        <w:rPr>
          <w:rFonts w:asciiTheme="minorHAnsi" w:eastAsia="Times New Roman" w:hAnsiTheme="minorHAnsi" w:cstheme="minorHAnsi"/>
          <w:b/>
          <w:bCs/>
          <w:kern w:val="36"/>
          <w:sz w:val="32"/>
          <w:szCs w:val="32"/>
        </w:rPr>
      </w:pPr>
      <w:r w:rsidRPr="00B40263">
        <w:rPr>
          <w:rFonts w:asciiTheme="minorHAnsi" w:eastAsia="Times New Roman" w:hAnsiTheme="minorHAnsi" w:cstheme="minorHAnsi"/>
          <w:b/>
          <w:bCs/>
          <w:kern w:val="36"/>
          <w:sz w:val="32"/>
          <w:szCs w:val="32"/>
        </w:rPr>
        <w:t>INTA y Fundación ArgenINTA lleva</w:t>
      </w:r>
      <w:r w:rsidRPr="00B40263">
        <w:rPr>
          <w:rFonts w:asciiTheme="minorHAnsi" w:eastAsia="Times New Roman" w:hAnsiTheme="minorHAnsi" w:cstheme="minorHAnsi"/>
          <w:b/>
          <w:bCs/>
          <w:kern w:val="36"/>
          <w:sz w:val="32"/>
          <w:szCs w:val="32"/>
          <w:lang w:val="es-419"/>
        </w:rPr>
        <w:t>rá</w:t>
      </w:r>
      <w:r w:rsidRPr="00B40263">
        <w:rPr>
          <w:rFonts w:asciiTheme="minorHAnsi" w:eastAsia="Times New Roman" w:hAnsiTheme="minorHAnsi" w:cstheme="minorHAnsi"/>
          <w:b/>
          <w:bCs/>
          <w:kern w:val="36"/>
          <w:sz w:val="32"/>
          <w:szCs w:val="32"/>
        </w:rPr>
        <w:t>n innovación y conocimiento a la ganadería argentina</w:t>
      </w:r>
    </w:p>
    <w:p w14:paraId="10605E0D" w14:textId="77777777" w:rsidR="00B40263" w:rsidRPr="00B40263" w:rsidRDefault="00B40263" w:rsidP="00B40263">
      <w:pPr>
        <w:spacing w:before="100" w:beforeAutospacing="1" w:after="100" w:afterAutospacing="1" w:line="276" w:lineRule="auto"/>
        <w:jc w:val="center"/>
        <w:rPr>
          <w:rFonts w:asciiTheme="minorHAnsi" w:eastAsia="Times New Roman" w:hAnsiTheme="minorHAnsi" w:cstheme="minorHAnsi"/>
          <w:i/>
          <w:iCs/>
          <w:sz w:val="24"/>
          <w:szCs w:val="24"/>
        </w:rPr>
      </w:pPr>
      <w:r w:rsidRPr="00B40263">
        <w:rPr>
          <w:rFonts w:asciiTheme="minorHAnsi" w:eastAsia="Times New Roman" w:hAnsiTheme="minorHAnsi" w:cstheme="minorHAnsi"/>
          <w:i/>
          <w:iCs/>
          <w:sz w:val="24"/>
          <w:szCs w:val="24"/>
        </w:rPr>
        <w:t>Las instituciones participarán de la Semana Angus de Primavera Edición Banco Provincia, con la fuerza de Expoagro, del 21 al 25 de septiembre en Cañuelas. Presentarán desarrollos vinculados con sustentabilidad, eficiencia productiva y conservación de la carne, y reforzarán una histórica relación de cooperación con la Asociación Argentina de Angus.</w:t>
      </w:r>
    </w:p>
    <w:p w14:paraId="5C04E17A"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INTA y Fundación ArgenINTA serán parte de la </w:t>
      </w:r>
      <w:r w:rsidRPr="00B40263">
        <w:rPr>
          <w:rFonts w:asciiTheme="minorHAnsi" w:eastAsia="Times New Roman" w:hAnsiTheme="minorHAnsi" w:cstheme="minorHAnsi"/>
          <w:b/>
          <w:bCs/>
          <w:sz w:val="24"/>
          <w:szCs w:val="24"/>
        </w:rPr>
        <w:t>Semana Angus de Primavera Edición Banco Provincia, con la fuerza de Expoagro</w:t>
      </w:r>
      <w:r w:rsidRPr="00B40263">
        <w:rPr>
          <w:rFonts w:asciiTheme="minorHAnsi" w:eastAsia="Times New Roman" w:hAnsiTheme="minorHAnsi" w:cstheme="minorHAnsi"/>
          <w:sz w:val="24"/>
          <w:szCs w:val="24"/>
        </w:rPr>
        <w:t xml:space="preserve">, que se realizará del </w:t>
      </w:r>
      <w:r w:rsidRPr="00B40263">
        <w:rPr>
          <w:rFonts w:asciiTheme="minorHAnsi" w:eastAsia="Times New Roman" w:hAnsiTheme="minorHAnsi" w:cstheme="minorHAnsi"/>
          <w:b/>
          <w:bCs/>
          <w:sz w:val="24"/>
          <w:szCs w:val="24"/>
        </w:rPr>
        <w:t>21 al 25 de septiembre</w:t>
      </w:r>
      <w:r w:rsidRPr="00B40263">
        <w:rPr>
          <w:rFonts w:asciiTheme="minorHAnsi" w:eastAsia="Times New Roman" w:hAnsiTheme="minorHAnsi" w:cstheme="minorHAnsi"/>
          <w:sz w:val="24"/>
          <w:szCs w:val="24"/>
        </w:rPr>
        <w:t xml:space="preserve"> en el </w:t>
      </w:r>
      <w:r w:rsidRPr="00B40263">
        <w:rPr>
          <w:rFonts w:asciiTheme="minorHAnsi" w:eastAsia="Times New Roman" w:hAnsiTheme="minorHAnsi" w:cstheme="minorHAnsi"/>
          <w:b/>
          <w:bCs/>
          <w:sz w:val="24"/>
          <w:szCs w:val="24"/>
        </w:rPr>
        <w:t>Centro de Remates y Exposiciones Angus del Mercado Agroganadero de Cañuelas (MAG)</w:t>
      </w:r>
      <w:r w:rsidRPr="00B40263">
        <w:rPr>
          <w:rFonts w:asciiTheme="minorHAnsi" w:eastAsia="Times New Roman" w:hAnsiTheme="minorHAnsi" w:cstheme="minorHAnsi"/>
          <w:sz w:val="24"/>
          <w:szCs w:val="24"/>
        </w:rPr>
        <w:t>, ubicado en el kilómetro 87 de la Ruta Provincial 6.</w:t>
      </w:r>
    </w:p>
    <w:p w14:paraId="424AED79"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La participación se inscribe en una extensa historia de cooperación entre el INTA y la Asociación Argentina de Angus, que tiene entre sus principales hitos la creación, en 1989, del </w:t>
      </w:r>
      <w:r w:rsidRPr="00B40263">
        <w:rPr>
          <w:rFonts w:asciiTheme="minorHAnsi" w:eastAsia="Times New Roman" w:hAnsiTheme="minorHAnsi" w:cstheme="minorHAnsi"/>
          <w:b/>
          <w:bCs/>
          <w:sz w:val="24"/>
          <w:szCs w:val="24"/>
        </w:rPr>
        <w:t>Programa de Evaluación de Reproductores Angus (ERA)</w:t>
      </w:r>
      <w:r w:rsidRPr="00B40263">
        <w:rPr>
          <w:rFonts w:asciiTheme="minorHAnsi" w:eastAsia="Times New Roman" w:hAnsiTheme="minorHAnsi" w:cstheme="minorHAnsi"/>
          <w:sz w:val="24"/>
          <w:szCs w:val="24"/>
        </w:rPr>
        <w:t>, a partir del trabajo conjunto con el Instituto de Genética del INTA Castelar.</w:t>
      </w:r>
    </w:p>
    <w:p w14:paraId="4F8500DD"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Desde entonces, esa articulación fue incorporando herramientas y conocimientos relacionados con la </w:t>
      </w:r>
      <w:r w:rsidRPr="00B40263">
        <w:rPr>
          <w:rFonts w:asciiTheme="minorHAnsi" w:eastAsia="Times New Roman" w:hAnsiTheme="minorHAnsi" w:cstheme="minorHAnsi"/>
          <w:b/>
          <w:bCs/>
          <w:sz w:val="24"/>
          <w:szCs w:val="24"/>
        </w:rPr>
        <w:t>evaluación y el mejoramiento genético, la calidad de carne, la genómica y la eficiencia de conversión</w:t>
      </w:r>
      <w:r w:rsidRPr="00B40263">
        <w:rPr>
          <w:rFonts w:asciiTheme="minorHAnsi" w:eastAsia="Times New Roman" w:hAnsiTheme="minorHAnsi" w:cstheme="minorHAnsi"/>
          <w:sz w:val="24"/>
          <w:szCs w:val="24"/>
        </w:rPr>
        <w:t>. En 2025, ambas instituciones profundizaron el vínculo mediante la firma de un nuevo Convenio Marco de cooperación técnica, científica y académica.</w:t>
      </w:r>
    </w:p>
    <w:p w14:paraId="3C7F0A2F"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El objetivo que atraviesa este trabajo conjunto es favorecer la competitividad de los productores a partir de la investigación y la innovación.</w:t>
      </w:r>
    </w:p>
    <w:p w14:paraId="70B67620"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En este sentido, desde INTA y Fundación ArgenINTA destacaron que participar de la Semana Angus representa la posibilidad de </w:t>
      </w:r>
      <w:r w:rsidRPr="00B40263">
        <w:rPr>
          <w:rFonts w:asciiTheme="minorHAnsi" w:eastAsia="Times New Roman" w:hAnsiTheme="minorHAnsi" w:cstheme="minorHAnsi"/>
          <w:b/>
          <w:bCs/>
          <w:sz w:val="24"/>
          <w:szCs w:val="24"/>
        </w:rPr>
        <w:t>continuar una historia de trabajo conjunto y proyectarla hacia los nuevos desafíos de la actividad</w:t>
      </w:r>
      <w:r w:rsidRPr="00B40263">
        <w:rPr>
          <w:rFonts w:asciiTheme="minorHAnsi" w:eastAsia="Times New Roman" w:hAnsiTheme="minorHAnsi" w:cstheme="minorHAnsi"/>
          <w:sz w:val="24"/>
          <w:szCs w:val="24"/>
        </w:rPr>
        <w:t>, conectando las capacidades científico-técnicas del Instituto con productores, criadores y empresas para transformar el conocimiento en herramientas concretas para la toma de decisiones.</w:t>
      </w:r>
    </w:p>
    <w:p w14:paraId="22DEADA7" w14:textId="77777777" w:rsidR="00B40263" w:rsidRPr="00B40263" w:rsidRDefault="00B40263" w:rsidP="00B40263">
      <w:pPr>
        <w:spacing w:before="100" w:beforeAutospacing="1" w:after="100" w:afterAutospacing="1" w:line="276" w:lineRule="auto"/>
        <w:jc w:val="both"/>
        <w:outlineLvl w:val="1"/>
        <w:rPr>
          <w:rFonts w:asciiTheme="minorHAnsi" w:eastAsia="Times New Roman" w:hAnsiTheme="minorHAnsi" w:cstheme="minorHAnsi"/>
          <w:b/>
          <w:bCs/>
          <w:sz w:val="24"/>
          <w:szCs w:val="24"/>
        </w:rPr>
      </w:pPr>
      <w:r w:rsidRPr="00B40263">
        <w:rPr>
          <w:rFonts w:asciiTheme="minorHAnsi" w:eastAsia="Times New Roman" w:hAnsiTheme="minorHAnsi" w:cstheme="minorHAnsi"/>
          <w:b/>
          <w:bCs/>
          <w:sz w:val="24"/>
          <w:szCs w:val="24"/>
        </w:rPr>
        <w:t>Innovaciones que llegan a la cadena de la carne</w:t>
      </w:r>
    </w:p>
    <w:p w14:paraId="53B8953E"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Durante las cinco jornadas, </w:t>
      </w:r>
      <w:r w:rsidRPr="00B40263">
        <w:rPr>
          <w:rFonts w:asciiTheme="minorHAnsi" w:eastAsia="Times New Roman" w:hAnsiTheme="minorHAnsi" w:cstheme="minorHAnsi"/>
          <w:b/>
          <w:bCs/>
          <w:sz w:val="24"/>
          <w:szCs w:val="24"/>
        </w:rPr>
        <w:t>INTA y Fundación ArgenINTA</w:t>
      </w:r>
      <w:r w:rsidRPr="00B40263">
        <w:rPr>
          <w:rFonts w:asciiTheme="minorHAnsi" w:eastAsia="Times New Roman" w:hAnsiTheme="minorHAnsi" w:cstheme="minorHAnsi"/>
          <w:sz w:val="24"/>
          <w:szCs w:val="24"/>
        </w:rPr>
        <w:t xml:space="preserve">, integrantes del Grupo INTA junto con INTeA, contarán con un stand institucional donde presentarán desarrollos y </w:t>
      </w:r>
      <w:r w:rsidRPr="00B40263">
        <w:rPr>
          <w:rFonts w:asciiTheme="minorHAnsi" w:eastAsia="Times New Roman" w:hAnsiTheme="minorHAnsi" w:cstheme="minorHAnsi"/>
          <w:sz w:val="24"/>
          <w:szCs w:val="24"/>
        </w:rPr>
        <w:lastRenderedPageBreak/>
        <w:t>herramientas vinculados con diferentes eslabones de la producción ganadera y de la cadena de la carne.</w:t>
      </w:r>
    </w:p>
    <w:p w14:paraId="6B42407D"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Una de las novedades estará a cargo de </w:t>
      </w:r>
      <w:r w:rsidRPr="00B40263">
        <w:rPr>
          <w:rFonts w:asciiTheme="minorHAnsi" w:eastAsia="Times New Roman" w:hAnsiTheme="minorHAnsi" w:cstheme="minorHAnsi"/>
          <w:b/>
          <w:bCs/>
          <w:sz w:val="24"/>
          <w:szCs w:val="24"/>
        </w:rPr>
        <w:t>Laura Testa, investigadora del INTA Balcarce</w:t>
      </w:r>
      <w:r w:rsidRPr="00B40263">
        <w:rPr>
          <w:rFonts w:asciiTheme="minorHAnsi" w:eastAsia="Times New Roman" w:hAnsiTheme="minorHAnsi" w:cstheme="minorHAnsi"/>
          <w:sz w:val="24"/>
          <w:szCs w:val="24"/>
        </w:rPr>
        <w:t xml:space="preserve">, quien presentará los avances de un </w:t>
      </w:r>
      <w:r w:rsidRPr="00B40263">
        <w:rPr>
          <w:rFonts w:asciiTheme="minorHAnsi" w:eastAsia="Times New Roman" w:hAnsiTheme="minorHAnsi" w:cstheme="minorHAnsi"/>
          <w:b/>
          <w:bCs/>
          <w:sz w:val="24"/>
          <w:szCs w:val="24"/>
        </w:rPr>
        <w:t>film compostable biobasado</w:t>
      </w:r>
      <w:r w:rsidRPr="00B40263">
        <w:rPr>
          <w:rFonts w:asciiTheme="minorHAnsi" w:eastAsia="Times New Roman" w:hAnsiTheme="minorHAnsi" w:cstheme="minorHAnsi"/>
          <w:sz w:val="24"/>
          <w:szCs w:val="24"/>
        </w:rPr>
        <w:t>, evaluado como una alternativa a los plásticos convencionales utilizados para el envasado de carne vacuna.</w:t>
      </w:r>
    </w:p>
    <w:p w14:paraId="67B0FADC"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Según los ensayos realizados a escala de laboratorio, el desarrollo mostró durante el período evaluado un comportamiento equivalente al PVC, preservando la </w:t>
      </w:r>
      <w:r w:rsidRPr="00B40263">
        <w:rPr>
          <w:rFonts w:asciiTheme="minorHAnsi" w:eastAsia="Times New Roman" w:hAnsiTheme="minorHAnsi" w:cstheme="minorHAnsi"/>
          <w:b/>
          <w:bCs/>
          <w:sz w:val="24"/>
          <w:szCs w:val="24"/>
        </w:rPr>
        <w:t>calidad, frescura e inocuidad de la carne</w:t>
      </w:r>
      <w:r w:rsidRPr="00B40263">
        <w:rPr>
          <w:rFonts w:asciiTheme="minorHAnsi" w:eastAsia="Times New Roman" w:hAnsiTheme="minorHAnsi" w:cstheme="minorHAnsi"/>
          <w:sz w:val="24"/>
          <w:szCs w:val="24"/>
        </w:rPr>
        <w:t>.</w:t>
      </w:r>
    </w:p>
    <w:p w14:paraId="0B94C914"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Por su parte, </w:t>
      </w:r>
      <w:r w:rsidRPr="00B40263">
        <w:rPr>
          <w:rFonts w:asciiTheme="minorHAnsi" w:eastAsia="Times New Roman" w:hAnsiTheme="minorHAnsi" w:cstheme="minorHAnsi"/>
          <w:b/>
          <w:bCs/>
          <w:sz w:val="24"/>
          <w:szCs w:val="24"/>
        </w:rPr>
        <w:t>Mauricio Álvarez, coordinador del Programa Nacional de Carnes y Fibras Animales del INTA</w:t>
      </w:r>
      <w:r w:rsidRPr="00B40263">
        <w:rPr>
          <w:rFonts w:asciiTheme="minorHAnsi" w:eastAsia="Times New Roman" w:hAnsiTheme="minorHAnsi" w:cstheme="minorHAnsi"/>
          <w:sz w:val="24"/>
          <w:szCs w:val="24"/>
        </w:rPr>
        <w:t xml:space="preserve">, dará detalles de la </w:t>
      </w:r>
      <w:r w:rsidRPr="00B40263">
        <w:rPr>
          <w:rFonts w:asciiTheme="minorHAnsi" w:eastAsia="Times New Roman" w:hAnsiTheme="minorHAnsi" w:cstheme="minorHAnsi"/>
          <w:b/>
          <w:bCs/>
          <w:sz w:val="24"/>
          <w:szCs w:val="24"/>
        </w:rPr>
        <w:t>Calculadora de Huella de Carbono para Sistemas Ganaderos</w:t>
      </w:r>
      <w:r w:rsidRPr="00B40263">
        <w:rPr>
          <w:rFonts w:asciiTheme="minorHAnsi" w:eastAsia="Times New Roman" w:hAnsiTheme="minorHAnsi" w:cstheme="minorHAnsi"/>
          <w:sz w:val="24"/>
          <w:szCs w:val="24"/>
        </w:rPr>
        <w:t>, una herramienta desarrollada por el INTA junto con WWF y adaptada a las condiciones productivas de la Argentina.</w:t>
      </w:r>
    </w:p>
    <w:p w14:paraId="65F2C11B"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La solución permite caracterizar los sistemas ganaderos, comparar tecnologías y analizar diferentes alternativas de manejo con el objetivo de avanzar en </w:t>
      </w:r>
      <w:r w:rsidRPr="00B40263">
        <w:rPr>
          <w:rFonts w:asciiTheme="minorHAnsi" w:eastAsia="Times New Roman" w:hAnsiTheme="minorHAnsi" w:cstheme="minorHAnsi"/>
          <w:b/>
          <w:bCs/>
          <w:sz w:val="24"/>
          <w:szCs w:val="24"/>
        </w:rPr>
        <w:t>productividad y eficiencia</w:t>
      </w:r>
      <w:r w:rsidRPr="00B40263">
        <w:rPr>
          <w:rFonts w:asciiTheme="minorHAnsi" w:eastAsia="Times New Roman" w:hAnsiTheme="minorHAnsi" w:cstheme="minorHAnsi"/>
          <w:sz w:val="24"/>
          <w:szCs w:val="24"/>
        </w:rPr>
        <w:t>.</w:t>
      </w:r>
    </w:p>
    <w:p w14:paraId="2CE71588"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De esta manera, la propuesta abarcará diferentes instancias de la cadena, desde herramientas destinadas a analizar y mejorar los sistemas productivos hasta desarrollos tecnológicos orientados a la conservación de la carne.</w:t>
      </w:r>
    </w:p>
    <w:p w14:paraId="3831CB63" w14:textId="77777777" w:rsidR="00B40263" w:rsidRPr="00B40263" w:rsidRDefault="00B40263" w:rsidP="00B40263">
      <w:pPr>
        <w:spacing w:before="100" w:beforeAutospacing="1" w:after="100" w:afterAutospacing="1" w:line="276" w:lineRule="auto"/>
        <w:jc w:val="both"/>
        <w:outlineLvl w:val="1"/>
        <w:rPr>
          <w:rFonts w:asciiTheme="minorHAnsi" w:eastAsia="Times New Roman" w:hAnsiTheme="minorHAnsi" w:cstheme="minorHAnsi"/>
          <w:b/>
          <w:bCs/>
          <w:sz w:val="24"/>
          <w:szCs w:val="24"/>
        </w:rPr>
      </w:pPr>
      <w:r w:rsidRPr="00B40263">
        <w:rPr>
          <w:rFonts w:asciiTheme="minorHAnsi" w:eastAsia="Times New Roman" w:hAnsiTheme="minorHAnsi" w:cstheme="minorHAnsi"/>
          <w:b/>
          <w:bCs/>
          <w:sz w:val="24"/>
          <w:szCs w:val="24"/>
        </w:rPr>
        <w:t>Un espacio para acercar la ciencia al productor</w:t>
      </w:r>
    </w:p>
    <w:p w14:paraId="69546BA8"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Además de exhibir tecnologías, el stand funcionará como un ámbito de intercambio directo con </w:t>
      </w:r>
      <w:r w:rsidRPr="00B40263">
        <w:rPr>
          <w:rFonts w:asciiTheme="minorHAnsi" w:eastAsia="Times New Roman" w:hAnsiTheme="minorHAnsi" w:cstheme="minorHAnsi"/>
          <w:b/>
          <w:bCs/>
          <w:sz w:val="24"/>
          <w:szCs w:val="24"/>
        </w:rPr>
        <w:t>productores, cabañeros y referentes de la cadena ganadera</w:t>
      </w:r>
      <w:r w:rsidRPr="00B40263">
        <w:rPr>
          <w:rFonts w:asciiTheme="minorHAnsi" w:eastAsia="Times New Roman" w:hAnsiTheme="minorHAnsi" w:cstheme="minorHAnsi"/>
          <w:sz w:val="24"/>
          <w:szCs w:val="24"/>
        </w:rPr>
        <w:t>.</w:t>
      </w:r>
    </w:p>
    <w:p w14:paraId="66B2EBF0"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La presencia de los especialistas permitirá conversar sobre los principales desafíos de la actividad, conocer las tecnologías disponibles y profundizar en investigaciones que comprenden desde los sistemas de producción hasta la calidad y conservación de la carne.</w:t>
      </w:r>
    </w:p>
    <w:p w14:paraId="79124334"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La propuesta apunta a vincular las necesidades concretas del sector con las capacidades científico-técnicas del Instituto y detectar oportunidades para incorporar nuevos conocimientos y tecnologías a los sistemas productivos.</w:t>
      </w:r>
    </w:p>
    <w:p w14:paraId="4CA92D1B"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Actualmente, el INTA pone a disposición de la ganadería una red de capacidades que comprende </w:t>
      </w:r>
      <w:r w:rsidRPr="00B40263">
        <w:rPr>
          <w:rFonts w:asciiTheme="minorHAnsi" w:eastAsia="Times New Roman" w:hAnsiTheme="minorHAnsi" w:cstheme="minorHAnsi"/>
          <w:b/>
          <w:bCs/>
          <w:sz w:val="24"/>
          <w:szCs w:val="24"/>
        </w:rPr>
        <w:t xml:space="preserve">genética y mejoramiento animal, nutrición y alimentación, manejo de </w:t>
      </w:r>
      <w:r w:rsidRPr="00B40263">
        <w:rPr>
          <w:rFonts w:asciiTheme="minorHAnsi" w:eastAsia="Times New Roman" w:hAnsiTheme="minorHAnsi" w:cstheme="minorHAnsi"/>
          <w:b/>
          <w:bCs/>
          <w:sz w:val="24"/>
          <w:szCs w:val="24"/>
        </w:rPr>
        <w:lastRenderedPageBreak/>
        <w:t>pasturas y forrajes, reproducción, bienestar y salud animal, calidad de carnes, tecnologías de precisión y generación de información para la toma de decisiones</w:t>
      </w:r>
      <w:r w:rsidRPr="00B40263">
        <w:rPr>
          <w:rFonts w:asciiTheme="minorHAnsi" w:eastAsia="Times New Roman" w:hAnsiTheme="minorHAnsi" w:cstheme="minorHAnsi"/>
          <w:sz w:val="24"/>
          <w:szCs w:val="24"/>
        </w:rPr>
        <w:t>.</w:t>
      </w:r>
    </w:p>
    <w:p w14:paraId="11345188"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A través de sus equipos distribuidos en las diferentes regiones productivas del país, genera y valida tecnologías adaptadas a distintos sistemas y trabaja junto con productores, asociaciones y empresas para facilitar su incorporación.</w:t>
      </w:r>
    </w:p>
    <w:p w14:paraId="1F289764"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El objetivo es transformar la investigación y el conocimiento en soluciones concretas que permitan </w:t>
      </w:r>
      <w:r w:rsidRPr="00B40263">
        <w:rPr>
          <w:rFonts w:asciiTheme="minorHAnsi" w:eastAsia="Times New Roman" w:hAnsiTheme="minorHAnsi" w:cstheme="minorHAnsi"/>
          <w:b/>
          <w:bCs/>
          <w:sz w:val="24"/>
          <w:szCs w:val="24"/>
        </w:rPr>
        <w:t>producir mejor, ganar eficiencia y fortalecer la competitividad de la ganadería argentina</w:t>
      </w:r>
      <w:r w:rsidRPr="00B40263">
        <w:rPr>
          <w:rFonts w:asciiTheme="minorHAnsi" w:eastAsia="Times New Roman" w:hAnsiTheme="minorHAnsi" w:cstheme="minorHAnsi"/>
          <w:sz w:val="24"/>
          <w:szCs w:val="24"/>
        </w:rPr>
        <w:t>.</w:t>
      </w:r>
    </w:p>
    <w:p w14:paraId="734487A7" w14:textId="77777777" w:rsidR="00B40263" w:rsidRPr="00B40263" w:rsidRDefault="00B40263" w:rsidP="00B40263">
      <w:pPr>
        <w:spacing w:before="100" w:beforeAutospacing="1" w:after="100" w:afterAutospacing="1" w:line="276" w:lineRule="auto"/>
        <w:jc w:val="both"/>
        <w:outlineLvl w:val="1"/>
        <w:rPr>
          <w:rFonts w:asciiTheme="minorHAnsi" w:eastAsia="Times New Roman" w:hAnsiTheme="minorHAnsi" w:cstheme="minorHAnsi"/>
          <w:b/>
          <w:bCs/>
          <w:sz w:val="24"/>
          <w:szCs w:val="24"/>
        </w:rPr>
      </w:pPr>
      <w:r w:rsidRPr="00B40263">
        <w:rPr>
          <w:rFonts w:asciiTheme="minorHAnsi" w:eastAsia="Times New Roman" w:hAnsiTheme="minorHAnsi" w:cstheme="minorHAnsi"/>
          <w:b/>
          <w:bCs/>
          <w:sz w:val="24"/>
          <w:szCs w:val="24"/>
        </w:rPr>
        <w:t>Cinco días con la ganadería como protagonista</w:t>
      </w:r>
    </w:p>
    <w:p w14:paraId="271517F1"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 xml:space="preserve">La Semana Angus de Primavera reunirá a productores, cabañeros, consignatarias, empresas, profesionales y referentes de la cadena de valor en el marco de la </w:t>
      </w:r>
      <w:r w:rsidRPr="00B40263">
        <w:rPr>
          <w:rFonts w:asciiTheme="minorHAnsi" w:eastAsia="Times New Roman" w:hAnsiTheme="minorHAnsi" w:cstheme="minorHAnsi"/>
          <w:b/>
          <w:bCs/>
          <w:sz w:val="24"/>
          <w:szCs w:val="24"/>
        </w:rPr>
        <w:t>47° Exposición Nacional Angus de Primavera</w:t>
      </w:r>
      <w:r w:rsidRPr="00B40263">
        <w:rPr>
          <w:rFonts w:asciiTheme="minorHAnsi" w:eastAsia="Times New Roman" w:hAnsiTheme="minorHAnsi" w:cstheme="minorHAnsi"/>
          <w:sz w:val="24"/>
          <w:szCs w:val="24"/>
        </w:rPr>
        <w:t xml:space="preserve"> y la </w:t>
      </w:r>
      <w:r w:rsidRPr="00B40263">
        <w:rPr>
          <w:rFonts w:asciiTheme="minorHAnsi" w:eastAsia="Times New Roman" w:hAnsiTheme="minorHAnsi" w:cstheme="minorHAnsi"/>
          <w:b/>
          <w:bCs/>
          <w:sz w:val="24"/>
          <w:szCs w:val="24"/>
        </w:rPr>
        <w:t>26° Exposición del Ternero Angus</w:t>
      </w:r>
      <w:r w:rsidRPr="00B40263">
        <w:rPr>
          <w:rFonts w:asciiTheme="minorHAnsi" w:eastAsia="Times New Roman" w:hAnsiTheme="minorHAnsi" w:cstheme="minorHAnsi"/>
          <w:sz w:val="24"/>
          <w:szCs w:val="24"/>
        </w:rPr>
        <w:t>.</w:t>
      </w:r>
    </w:p>
    <w:p w14:paraId="6F443F35" w14:textId="77777777" w:rsidR="00B40263" w:rsidRPr="00B40263" w:rsidRDefault="00B40263" w:rsidP="00B40263">
      <w:pPr>
        <w:spacing w:before="100" w:beforeAutospacing="1" w:after="100" w:afterAutospacing="1" w:line="276" w:lineRule="auto"/>
        <w:jc w:val="both"/>
        <w:rPr>
          <w:rFonts w:asciiTheme="minorHAnsi" w:eastAsia="Times New Roman" w:hAnsiTheme="minorHAnsi" w:cstheme="minorHAnsi"/>
          <w:sz w:val="24"/>
          <w:szCs w:val="24"/>
        </w:rPr>
      </w:pPr>
      <w:r w:rsidRPr="00B40263">
        <w:rPr>
          <w:rFonts w:asciiTheme="minorHAnsi" w:eastAsia="Times New Roman" w:hAnsiTheme="minorHAnsi" w:cstheme="minorHAnsi"/>
          <w:sz w:val="24"/>
          <w:szCs w:val="24"/>
        </w:rPr>
        <w:t>Durante cinco jornadas, Cañuelas será escenario de genética, innovación, tecnología y negocios, con la participación de distintos actores que acompañan el desarrollo de la ganadería argentina.</w:t>
      </w:r>
    </w:p>
    <w:p w14:paraId="238B1E7B" w14:textId="77777777" w:rsidR="00304E8C" w:rsidRPr="00B40263" w:rsidRDefault="00304E8C" w:rsidP="00B40263">
      <w:pPr>
        <w:spacing w:line="276" w:lineRule="auto"/>
        <w:jc w:val="both"/>
        <w:rPr>
          <w:rFonts w:asciiTheme="minorHAnsi" w:hAnsiTheme="minorHAnsi" w:cstheme="minorHAnsi"/>
        </w:rPr>
      </w:pPr>
    </w:p>
    <w:sectPr w:rsidR="00304E8C" w:rsidRPr="00B40263" w:rsidSect="00E728E0">
      <w:headerReference w:type="default" r:id="rId6"/>
      <w:footerReference w:type="default" r:id="rId7"/>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5C004" w14:textId="77777777" w:rsidR="007E141D" w:rsidRDefault="007E141D" w:rsidP="00E728E0">
      <w:r>
        <w:separator/>
      </w:r>
    </w:p>
  </w:endnote>
  <w:endnote w:type="continuationSeparator" w:id="0">
    <w:p w14:paraId="46718446" w14:textId="77777777" w:rsidR="007E141D" w:rsidRDefault="007E141D" w:rsidP="00E7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9CC3D" w14:textId="77777777" w:rsidR="007E141D" w:rsidRDefault="007E141D" w:rsidP="00E728E0">
      <w:r>
        <w:separator/>
      </w:r>
    </w:p>
  </w:footnote>
  <w:footnote w:type="continuationSeparator" w:id="0">
    <w:p w14:paraId="138AAC57" w14:textId="77777777" w:rsidR="007E141D" w:rsidRDefault="007E141D" w:rsidP="00E72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6D601C61">
          <wp:extent cx="7638896" cy="12345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8896" cy="1234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57B52"/>
    <w:rsid w:val="00071E7E"/>
    <w:rsid w:val="00077EA7"/>
    <w:rsid w:val="00116F81"/>
    <w:rsid w:val="00117812"/>
    <w:rsid w:val="00133D94"/>
    <w:rsid w:val="00152E94"/>
    <w:rsid w:val="001C19C2"/>
    <w:rsid w:val="0023622E"/>
    <w:rsid w:val="00304E8C"/>
    <w:rsid w:val="003066A3"/>
    <w:rsid w:val="003469FF"/>
    <w:rsid w:val="003A46E4"/>
    <w:rsid w:val="003D6B52"/>
    <w:rsid w:val="00401C72"/>
    <w:rsid w:val="00407DC9"/>
    <w:rsid w:val="004D3374"/>
    <w:rsid w:val="005A2DD9"/>
    <w:rsid w:val="005B4E0C"/>
    <w:rsid w:val="005D7C52"/>
    <w:rsid w:val="00641EC9"/>
    <w:rsid w:val="00690C49"/>
    <w:rsid w:val="00697E80"/>
    <w:rsid w:val="006B2CCA"/>
    <w:rsid w:val="006D6E48"/>
    <w:rsid w:val="00760D1F"/>
    <w:rsid w:val="00794D9F"/>
    <w:rsid w:val="007B5323"/>
    <w:rsid w:val="007E141D"/>
    <w:rsid w:val="007F5EAC"/>
    <w:rsid w:val="0082466E"/>
    <w:rsid w:val="0085148C"/>
    <w:rsid w:val="00864B80"/>
    <w:rsid w:val="00885C10"/>
    <w:rsid w:val="008D7D65"/>
    <w:rsid w:val="00960111"/>
    <w:rsid w:val="009A401E"/>
    <w:rsid w:val="00A2497E"/>
    <w:rsid w:val="00A46A9F"/>
    <w:rsid w:val="00A65E2E"/>
    <w:rsid w:val="00A758F3"/>
    <w:rsid w:val="00A86251"/>
    <w:rsid w:val="00B361C8"/>
    <w:rsid w:val="00B40263"/>
    <w:rsid w:val="00B568D1"/>
    <w:rsid w:val="00B76558"/>
    <w:rsid w:val="00C94227"/>
    <w:rsid w:val="00D44200"/>
    <w:rsid w:val="00D512C0"/>
    <w:rsid w:val="00D60DE9"/>
    <w:rsid w:val="00E25E6B"/>
    <w:rsid w:val="00E367DC"/>
    <w:rsid w:val="00E728E0"/>
    <w:rsid w:val="00E7315D"/>
    <w:rsid w:val="00ED36B6"/>
    <w:rsid w:val="00EE6A97"/>
    <w:rsid w:val="00EE74EB"/>
    <w:rsid w:val="00F02CDD"/>
    <w:rsid w:val="00F04603"/>
    <w:rsid w:val="00F4647F"/>
    <w:rsid w:val="00F94131"/>
    <w:rsid w:val="00FB4770"/>
    <w:rsid w:val="00FD41FD"/>
    <w:rsid w:val="00FF60E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9C2"/>
    <w:pPr>
      <w:spacing w:after="0" w:line="240" w:lineRule="auto"/>
    </w:pPr>
    <w:rPr>
      <w:rFonts w:ascii="Calibri" w:hAnsi="Calibri" w:cs="Calibri"/>
    </w:rPr>
  </w:style>
  <w:style w:type="paragraph" w:styleId="Ttulo1">
    <w:name w:val="heading 1"/>
    <w:basedOn w:val="Normal"/>
    <w:link w:val="Ttulo1Car"/>
    <w:uiPriority w:val="9"/>
    <w:qFormat/>
    <w:rsid w:val="00B4026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B4026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pPr>
    <w:rPr>
      <w:rFonts w:asciiTheme="minorHAnsi" w:hAnsiTheme="minorHAnsi" w:cstheme="minorBidi"/>
    </w:r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pPr>
    <w:rPr>
      <w:rFonts w:asciiTheme="minorHAnsi" w:hAnsiTheme="minorHAnsi" w:cstheme="minorBidi"/>
    </w:r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B40263"/>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B402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40263"/>
    <w:pPr>
      <w:spacing w:before="100" w:beforeAutospacing="1" w:after="100" w:afterAutospacing="1"/>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B402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54018">
      <w:bodyDiv w:val="1"/>
      <w:marLeft w:val="0"/>
      <w:marRight w:val="0"/>
      <w:marTop w:val="0"/>
      <w:marBottom w:val="0"/>
      <w:divBdr>
        <w:top w:val="none" w:sz="0" w:space="0" w:color="auto"/>
        <w:left w:val="none" w:sz="0" w:space="0" w:color="auto"/>
        <w:bottom w:val="none" w:sz="0" w:space="0" w:color="auto"/>
        <w:right w:val="none" w:sz="0" w:space="0" w:color="auto"/>
      </w:divBdr>
    </w:div>
    <w:div w:id="158972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798</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Antonella  Schiantarelli</cp:lastModifiedBy>
  <cp:revision>3</cp:revision>
  <dcterms:created xsi:type="dcterms:W3CDTF">2026-09-16T21:03:00Z</dcterms:created>
  <dcterms:modified xsi:type="dcterms:W3CDTF">2026-09-17T19:41:00Z</dcterms:modified>
</cp:coreProperties>
</file>