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AC708" w14:textId="4CA8ACFB" w:rsidR="00200512" w:rsidRPr="00200512" w:rsidRDefault="00463622" w:rsidP="00200512">
      <w:pPr>
        <w:pStyle w:val="NormalWeb"/>
        <w:spacing w:line="276" w:lineRule="auto"/>
        <w:jc w:val="center"/>
        <w:rPr>
          <w:rStyle w:val="PiedepginaCar"/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200512">
        <w:rPr>
          <w:rFonts w:asciiTheme="minorHAnsi" w:hAnsiTheme="minorHAnsi" w:cstheme="minorHAnsi"/>
          <w:b/>
          <w:bCs/>
          <w:sz w:val="32"/>
          <w:szCs w:val="32"/>
        </w:rPr>
        <w:t>Mañana, más de 13.000 cabezas saldrán a remate de la mano de Galicia y Gananor Pujol</w:t>
      </w:r>
    </w:p>
    <w:p w14:paraId="7A177589" w14:textId="7FD41230" w:rsidR="00200512" w:rsidRPr="00200512" w:rsidRDefault="00200512" w:rsidP="00200512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200512">
        <w:rPr>
          <w:rStyle w:val="Textoennegrita"/>
          <w:rFonts w:asciiTheme="minorHAnsi" w:hAnsiTheme="minorHAnsi" w:cstheme="minorHAnsi"/>
          <w:b w:val="0"/>
          <w:bCs w:val="0"/>
          <w:i/>
          <w:iCs/>
        </w:rPr>
        <w:t>Este viernes 28 de agosto, desde las 12 horas, Galicia y Gananor Pujol realizarán su primer Gran Remate en Torre Galicia. Con la fuerza de Expoagro, más de 13.000 cabezas saldrán a la venta en una jornada que reunirá una destacada oferta de hacienda y herramientas de financiación para potenciar los negocios ganaderos.</w:t>
      </w:r>
    </w:p>
    <w:p w14:paraId="7104FA35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La cuenta regresiva llegó a su fin. </w:t>
      </w:r>
      <w:r w:rsidRPr="00200512">
        <w:rPr>
          <w:rStyle w:val="Textoennegrita"/>
          <w:rFonts w:asciiTheme="minorHAnsi" w:hAnsiTheme="minorHAnsi" w:cstheme="minorHAnsi"/>
        </w:rPr>
        <w:t>Mañana, viernes 28 de agosto</w:t>
      </w:r>
      <w:r w:rsidRPr="00200512">
        <w:rPr>
          <w:rFonts w:asciiTheme="minorHAnsi" w:hAnsiTheme="minorHAnsi" w:cstheme="minorHAnsi"/>
        </w:rPr>
        <w:t xml:space="preserve">, Galicia y Gananor Pujol concretarán su </w:t>
      </w:r>
      <w:r w:rsidRPr="00200512">
        <w:rPr>
          <w:rStyle w:val="Textoennegrita"/>
          <w:rFonts w:asciiTheme="minorHAnsi" w:hAnsiTheme="minorHAnsi" w:cstheme="minorHAnsi"/>
        </w:rPr>
        <w:t>primer Gran Remate</w:t>
      </w:r>
      <w:r w:rsidRPr="00200512">
        <w:rPr>
          <w:rFonts w:asciiTheme="minorHAnsi" w:hAnsiTheme="minorHAnsi" w:cstheme="minorHAnsi"/>
        </w:rPr>
        <w:t xml:space="preserve">, una jornada que reunirá </w:t>
      </w:r>
      <w:r w:rsidRPr="00200512">
        <w:rPr>
          <w:rStyle w:val="Textoennegrita"/>
          <w:rFonts w:asciiTheme="minorHAnsi" w:hAnsiTheme="minorHAnsi" w:cstheme="minorHAnsi"/>
        </w:rPr>
        <w:t>más de 13.000 cabezas</w:t>
      </w:r>
      <w:r w:rsidRPr="00200512">
        <w:rPr>
          <w:rFonts w:asciiTheme="minorHAnsi" w:hAnsiTheme="minorHAnsi" w:cstheme="minorHAnsi"/>
        </w:rPr>
        <w:t xml:space="preserve"> y convocará a productores, compradores y referentes de la cadena ganadera.</w:t>
      </w:r>
    </w:p>
    <w:p w14:paraId="66FFC3C1" w14:textId="78286DDE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Con la fuerza de Expoagro, el encuentro comenzará a las </w:t>
      </w:r>
      <w:r w:rsidRPr="00200512">
        <w:rPr>
          <w:rStyle w:val="Textoennegrita"/>
          <w:rFonts w:asciiTheme="minorHAnsi" w:hAnsiTheme="minorHAnsi" w:cstheme="minorHAnsi"/>
        </w:rPr>
        <w:t>12 horas en Torre Galicia</w:t>
      </w:r>
      <w:r w:rsidRPr="00200512">
        <w:rPr>
          <w:rFonts w:asciiTheme="minorHAnsi" w:hAnsiTheme="minorHAnsi" w:cstheme="minorHAnsi"/>
        </w:rPr>
        <w:t>, Ciudad Autónoma de Buenos Aires.</w:t>
      </w:r>
    </w:p>
    <w:p w14:paraId="7D05B0BB" w14:textId="4EAB370F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Style w:val="Textoennegrita"/>
          <w:rFonts w:asciiTheme="minorHAnsi" w:hAnsiTheme="minorHAnsi" w:cstheme="minorHAnsi"/>
        </w:rPr>
        <w:t xml:space="preserve">Bajo el martillo de Tomás </w:t>
      </w:r>
      <w:proofErr w:type="spellStart"/>
      <w:r w:rsidRPr="00200512">
        <w:rPr>
          <w:rStyle w:val="Textoennegrita"/>
          <w:rFonts w:asciiTheme="minorHAnsi" w:hAnsiTheme="minorHAnsi" w:cstheme="minorHAnsi"/>
        </w:rPr>
        <w:t>Torcoletti</w:t>
      </w:r>
      <w:proofErr w:type="spellEnd"/>
      <w:r w:rsidRPr="00200512">
        <w:rPr>
          <w:rStyle w:val="Textoennegrita"/>
          <w:rFonts w:asciiTheme="minorHAnsi" w:hAnsiTheme="minorHAnsi" w:cstheme="minorHAnsi"/>
        </w:rPr>
        <w:t xml:space="preserve">, de </w:t>
      </w:r>
      <w:proofErr w:type="spellStart"/>
      <w:r w:rsidRPr="00200512">
        <w:rPr>
          <w:rStyle w:val="Textoennegrita"/>
          <w:rFonts w:asciiTheme="minorHAnsi" w:hAnsiTheme="minorHAnsi" w:cstheme="minorHAnsi"/>
        </w:rPr>
        <w:t>Gananor</w:t>
      </w:r>
      <w:proofErr w:type="spellEnd"/>
      <w:r w:rsidRPr="00200512">
        <w:rPr>
          <w:rStyle w:val="Textoennegrita"/>
          <w:rFonts w:asciiTheme="minorHAnsi" w:hAnsiTheme="minorHAnsi" w:cstheme="minorHAnsi"/>
        </w:rPr>
        <w:t xml:space="preserve"> Pujol</w:t>
      </w:r>
      <w:r w:rsidRPr="00200512">
        <w:rPr>
          <w:rFonts w:asciiTheme="minorHAnsi" w:hAnsiTheme="minorHAnsi" w:cstheme="minorHAnsi"/>
        </w:rPr>
        <w:t xml:space="preserve">, </w:t>
      </w:r>
      <w:r w:rsidR="000D58A5">
        <w:rPr>
          <w:rFonts w:asciiTheme="minorHAnsi" w:hAnsiTheme="minorHAnsi" w:cstheme="minorHAnsi"/>
        </w:rPr>
        <w:t xml:space="preserve">se dispondrá </w:t>
      </w:r>
      <w:r w:rsidRPr="00200512">
        <w:rPr>
          <w:rFonts w:asciiTheme="minorHAnsi" w:hAnsiTheme="minorHAnsi" w:cstheme="minorHAnsi"/>
        </w:rPr>
        <w:t xml:space="preserve">una amplia oferta de hacienda, con fuerte presencia de categorías de invernada. Habrá </w:t>
      </w:r>
      <w:r w:rsidRPr="00200512">
        <w:rPr>
          <w:rStyle w:val="Textoennegrita"/>
          <w:rFonts w:asciiTheme="minorHAnsi" w:hAnsiTheme="minorHAnsi" w:cstheme="minorHAnsi"/>
        </w:rPr>
        <w:t>terneros y novillitos para recría, lotes de machos y hembras, además de vacas y vaquillonas de cría</w:t>
      </w:r>
      <w:r w:rsidRPr="00200512">
        <w:rPr>
          <w:rFonts w:asciiTheme="minorHAnsi" w:hAnsiTheme="minorHAnsi" w:cstheme="minorHAnsi"/>
        </w:rPr>
        <w:t>, conformando una propuesta destinada a productores y compradores de distintos puntos del país.</w:t>
      </w:r>
    </w:p>
    <w:p w14:paraId="5E59EC2B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>El remate será el punto de llegada de una iniciativa que comenzó a tomar forma meses atrás y que tuvo su lanzamiento oficial durante el Congreso Aapresid. La alianza entre Galicia, Gananor Pujol y Exponenciar busca generar nuevas oportunidades, combinando la experiencia comercial de la consignataria, herramientas financieras y la capacidad de convocatoria de Expoagro.</w:t>
      </w:r>
    </w:p>
    <w:p w14:paraId="3AC61FBD" w14:textId="77777777" w:rsidR="00200512" w:rsidRPr="00200512" w:rsidRDefault="00200512" w:rsidP="00200512">
      <w:pPr>
        <w:pStyle w:val="Ttulo2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00512">
        <w:rPr>
          <w:rFonts w:asciiTheme="minorHAnsi" w:hAnsiTheme="minorHAnsi" w:cstheme="minorHAnsi"/>
          <w:b/>
          <w:bCs/>
          <w:color w:val="auto"/>
          <w:sz w:val="24"/>
          <w:szCs w:val="24"/>
        </w:rPr>
        <w:t>Condiciones especiales para potenciar los negocios</w:t>
      </w:r>
    </w:p>
    <w:p w14:paraId="5DBC61A3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Uno de los diferenciales de la jornada será la propuesta financiera de </w:t>
      </w:r>
      <w:r w:rsidRPr="00200512">
        <w:rPr>
          <w:rStyle w:val="Textoennegrita"/>
          <w:rFonts w:asciiTheme="minorHAnsi" w:hAnsiTheme="minorHAnsi" w:cstheme="minorHAnsi"/>
        </w:rPr>
        <w:t>Galicia</w:t>
      </w:r>
      <w:r w:rsidRPr="00200512">
        <w:rPr>
          <w:rFonts w:asciiTheme="minorHAnsi" w:hAnsiTheme="minorHAnsi" w:cstheme="minorHAnsi"/>
        </w:rPr>
        <w:t xml:space="preserve">, que acompañará el Gran Remate con </w:t>
      </w:r>
      <w:r w:rsidRPr="00200512">
        <w:rPr>
          <w:rStyle w:val="Textoennegrita"/>
          <w:rFonts w:asciiTheme="minorHAnsi" w:hAnsiTheme="minorHAnsi" w:cstheme="minorHAnsi"/>
        </w:rPr>
        <w:t>condiciones especiales pensadas para facilitar las operaciones</w:t>
      </w:r>
      <w:r w:rsidRPr="00200512">
        <w:rPr>
          <w:rFonts w:asciiTheme="minorHAnsi" w:hAnsiTheme="minorHAnsi" w:cstheme="minorHAnsi"/>
        </w:rPr>
        <w:t>.</w:t>
      </w:r>
    </w:p>
    <w:p w14:paraId="1EFA8B19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A través de </w:t>
      </w:r>
      <w:r w:rsidRPr="00200512">
        <w:rPr>
          <w:rStyle w:val="Textoennegrita"/>
          <w:rFonts w:asciiTheme="minorHAnsi" w:hAnsiTheme="minorHAnsi" w:cstheme="minorHAnsi"/>
        </w:rPr>
        <w:t>Nera</w:t>
      </w:r>
      <w:r w:rsidRPr="00200512">
        <w:rPr>
          <w:rFonts w:asciiTheme="minorHAnsi" w:hAnsiTheme="minorHAnsi" w:cstheme="minorHAnsi"/>
        </w:rPr>
        <w:t>, los clientes MiPyMEs podrán acceder a alternativas de financiación en pesos y dólares, con tasas subsidiadas por pago anticipado.</w:t>
      </w:r>
    </w:p>
    <w:p w14:paraId="0CB7129B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En pesos, las opciones contemplan plazos de </w:t>
      </w:r>
      <w:r w:rsidRPr="00200512">
        <w:rPr>
          <w:rStyle w:val="Textoennegrita"/>
          <w:rFonts w:asciiTheme="minorHAnsi" w:hAnsiTheme="minorHAnsi" w:cstheme="minorHAnsi"/>
        </w:rPr>
        <w:t>180, 270 y 360 días</w:t>
      </w:r>
      <w:r w:rsidRPr="00200512">
        <w:rPr>
          <w:rFonts w:asciiTheme="minorHAnsi" w:hAnsiTheme="minorHAnsi" w:cstheme="minorHAnsi"/>
        </w:rPr>
        <w:t xml:space="preserve">, con TNAV de </w:t>
      </w:r>
      <w:r w:rsidRPr="00200512">
        <w:rPr>
          <w:rStyle w:val="Textoennegrita"/>
          <w:rFonts w:asciiTheme="minorHAnsi" w:hAnsiTheme="minorHAnsi" w:cstheme="minorHAnsi"/>
        </w:rPr>
        <w:t>24,85%, 26,70% y 28,60%</w:t>
      </w:r>
      <w:r w:rsidRPr="00200512">
        <w:rPr>
          <w:rFonts w:asciiTheme="minorHAnsi" w:hAnsiTheme="minorHAnsi" w:cstheme="minorHAnsi"/>
        </w:rPr>
        <w:t xml:space="preserve">, respectivamente, bajo modalidad </w:t>
      </w:r>
      <w:proofErr w:type="spellStart"/>
      <w:r w:rsidRPr="00200512">
        <w:rPr>
          <w:rFonts w:asciiTheme="minorHAnsi" w:hAnsiTheme="minorHAnsi" w:cstheme="minorHAnsi"/>
        </w:rPr>
        <w:t>bullet</w:t>
      </w:r>
      <w:proofErr w:type="spellEnd"/>
      <w:r w:rsidRPr="00200512">
        <w:rPr>
          <w:rFonts w:asciiTheme="minorHAnsi" w:hAnsiTheme="minorHAnsi" w:cstheme="minorHAnsi"/>
        </w:rPr>
        <w:t xml:space="preserve">. También habrá alternativas a </w:t>
      </w:r>
      <w:r w:rsidRPr="00200512">
        <w:rPr>
          <w:rStyle w:val="Textoennegrita"/>
          <w:rFonts w:asciiTheme="minorHAnsi" w:hAnsiTheme="minorHAnsi" w:cstheme="minorHAnsi"/>
        </w:rPr>
        <w:t>18 y 24 meses</w:t>
      </w:r>
      <w:r w:rsidRPr="00200512">
        <w:rPr>
          <w:rFonts w:asciiTheme="minorHAnsi" w:hAnsiTheme="minorHAnsi" w:cstheme="minorHAnsi"/>
        </w:rPr>
        <w:t xml:space="preserve">, con TNAV de </w:t>
      </w:r>
      <w:r w:rsidRPr="00200512">
        <w:rPr>
          <w:rStyle w:val="Textoennegrita"/>
          <w:rFonts w:asciiTheme="minorHAnsi" w:hAnsiTheme="minorHAnsi" w:cstheme="minorHAnsi"/>
        </w:rPr>
        <w:t>26,97% y 27,39%</w:t>
      </w:r>
      <w:r w:rsidRPr="00200512">
        <w:rPr>
          <w:rFonts w:asciiTheme="minorHAnsi" w:hAnsiTheme="minorHAnsi" w:cstheme="minorHAnsi"/>
        </w:rPr>
        <w:t>, con pagos semestrales.</w:t>
      </w:r>
    </w:p>
    <w:p w14:paraId="66517396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lastRenderedPageBreak/>
        <w:t xml:space="preserve">En dólares, las condiciones parten de una </w:t>
      </w:r>
      <w:r w:rsidRPr="00200512">
        <w:rPr>
          <w:rStyle w:val="Textoennegrita"/>
          <w:rFonts w:asciiTheme="minorHAnsi" w:hAnsiTheme="minorHAnsi" w:cstheme="minorHAnsi"/>
        </w:rPr>
        <w:t>tasa del 0% a 90 días</w:t>
      </w:r>
      <w:r w:rsidRPr="00200512">
        <w:rPr>
          <w:rFonts w:asciiTheme="minorHAnsi" w:hAnsiTheme="minorHAnsi" w:cstheme="minorHAnsi"/>
        </w:rPr>
        <w:t xml:space="preserve"> y ofrecen alternativas a </w:t>
      </w:r>
      <w:r w:rsidRPr="00200512">
        <w:rPr>
          <w:rStyle w:val="Textoennegrita"/>
          <w:rFonts w:asciiTheme="minorHAnsi" w:hAnsiTheme="minorHAnsi" w:cstheme="minorHAnsi"/>
        </w:rPr>
        <w:t>180, 240, 270 y 360 días</w:t>
      </w:r>
      <w:r w:rsidRPr="00200512">
        <w:rPr>
          <w:rFonts w:asciiTheme="minorHAnsi" w:hAnsiTheme="minorHAnsi" w:cstheme="minorHAnsi"/>
        </w:rPr>
        <w:t xml:space="preserve">, con TNAV de </w:t>
      </w:r>
      <w:r w:rsidRPr="00200512">
        <w:rPr>
          <w:rStyle w:val="Textoennegrita"/>
          <w:rFonts w:asciiTheme="minorHAnsi" w:hAnsiTheme="minorHAnsi" w:cstheme="minorHAnsi"/>
        </w:rPr>
        <w:t>1,50%, 2,90%, 3,30% y 4,50%</w:t>
      </w:r>
      <w:r w:rsidRPr="00200512">
        <w:rPr>
          <w:rFonts w:asciiTheme="minorHAnsi" w:hAnsiTheme="minorHAnsi" w:cstheme="minorHAnsi"/>
        </w:rPr>
        <w:t xml:space="preserve">, respectivamente, bajo modalidad </w:t>
      </w:r>
      <w:proofErr w:type="spellStart"/>
      <w:r w:rsidRPr="00200512">
        <w:rPr>
          <w:rFonts w:asciiTheme="minorHAnsi" w:hAnsiTheme="minorHAnsi" w:cstheme="minorHAnsi"/>
        </w:rPr>
        <w:t>bullet</w:t>
      </w:r>
      <w:proofErr w:type="spellEnd"/>
      <w:r w:rsidRPr="00200512">
        <w:rPr>
          <w:rFonts w:asciiTheme="minorHAnsi" w:hAnsiTheme="minorHAnsi" w:cstheme="minorHAnsi"/>
        </w:rPr>
        <w:t>.</w:t>
      </w:r>
    </w:p>
    <w:p w14:paraId="5DCC32EF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Además, para la compra de </w:t>
      </w:r>
      <w:r w:rsidRPr="00200512">
        <w:rPr>
          <w:rStyle w:val="Textoennegrita"/>
          <w:rFonts w:asciiTheme="minorHAnsi" w:hAnsiTheme="minorHAnsi" w:cstheme="minorHAnsi"/>
        </w:rPr>
        <w:t>vientres preñados dentro del remate</w:t>
      </w:r>
      <w:r w:rsidRPr="00200512">
        <w:rPr>
          <w:rFonts w:asciiTheme="minorHAnsi" w:hAnsiTheme="minorHAnsi" w:cstheme="minorHAnsi"/>
        </w:rPr>
        <w:t xml:space="preserve">, los clientes podrán financiar </w:t>
      </w:r>
      <w:r w:rsidRPr="00200512">
        <w:rPr>
          <w:rStyle w:val="Textoennegrita"/>
          <w:rFonts w:asciiTheme="minorHAnsi" w:hAnsiTheme="minorHAnsi" w:cstheme="minorHAnsi"/>
        </w:rPr>
        <w:t>hasta el 100% de la operación</w:t>
      </w:r>
      <w:r w:rsidRPr="00200512">
        <w:rPr>
          <w:rFonts w:asciiTheme="minorHAnsi" w:hAnsiTheme="minorHAnsi" w:cstheme="minorHAnsi"/>
        </w:rPr>
        <w:t xml:space="preserve">: un 50% mediante </w:t>
      </w:r>
      <w:proofErr w:type="spellStart"/>
      <w:r w:rsidRPr="00200512">
        <w:rPr>
          <w:rStyle w:val="Textoennegrita"/>
          <w:rFonts w:asciiTheme="minorHAnsi" w:hAnsiTheme="minorHAnsi" w:cstheme="minorHAnsi"/>
        </w:rPr>
        <w:t>Autowarrant</w:t>
      </w:r>
      <w:proofErr w:type="spellEnd"/>
      <w:r w:rsidRPr="00200512">
        <w:rPr>
          <w:rStyle w:val="Textoennegrita"/>
          <w:rFonts w:asciiTheme="minorHAnsi" w:hAnsiTheme="minorHAnsi" w:cstheme="minorHAnsi"/>
        </w:rPr>
        <w:t xml:space="preserve"> Ganadero de Galicia</w:t>
      </w:r>
      <w:r w:rsidRPr="00200512">
        <w:rPr>
          <w:rFonts w:asciiTheme="minorHAnsi" w:hAnsiTheme="minorHAnsi" w:cstheme="minorHAnsi"/>
        </w:rPr>
        <w:t xml:space="preserve">, con hasta cinco años de financiación, y el 50% restante a través de </w:t>
      </w:r>
      <w:r w:rsidRPr="00200512">
        <w:rPr>
          <w:rStyle w:val="Textoennegrita"/>
          <w:rFonts w:asciiTheme="minorHAnsi" w:hAnsiTheme="minorHAnsi" w:cstheme="minorHAnsi"/>
        </w:rPr>
        <w:t>Nera</w:t>
      </w:r>
      <w:r w:rsidRPr="00200512">
        <w:rPr>
          <w:rFonts w:asciiTheme="minorHAnsi" w:hAnsiTheme="minorHAnsi" w:cstheme="minorHAnsi"/>
        </w:rPr>
        <w:t>, con un plazo de hasta 24 meses o combinando las alternativas de acuerdo con las necesidades de cada negocio.</w:t>
      </w:r>
    </w:p>
    <w:p w14:paraId="7DCAD4CF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Las condiciones informadas son </w:t>
      </w:r>
      <w:r w:rsidRPr="00200512">
        <w:rPr>
          <w:rStyle w:val="Textoennegrita"/>
          <w:rFonts w:asciiTheme="minorHAnsi" w:hAnsiTheme="minorHAnsi" w:cstheme="minorHAnsi"/>
        </w:rPr>
        <w:t>exclusivas para clientes MiPyMEs y estarán vigentes hasta el 7 de septiembre</w:t>
      </w:r>
      <w:r w:rsidRPr="00200512">
        <w:rPr>
          <w:rFonts w:asciiTheme="minorHAnsi" w:hAnsiTheme="minorHAnsi" w:cstheme="minorHAnsi"/>
        </w:rPr>
        <w:t>.</w:t>
      </w:r>
    </w:p>
    <w:p w14:paraId="69530F2B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>La propuesta financiera se suma a una oferta de más de 13.000 cabezas y refuerza el objetivo de la iniciativa: reunir en un mismo espacio hacienda, financiamiento y oportunidades concretas de negocio.</w:t>
      </w:r>
    </w:p>
    <w:p w14:paraId="3279DC22" w14:textId="77777777" w:rsidR="00200512" w:rsidRPr="005E427A" w:rsidRDefault="00200512" w:rsidP="00200512">
      <w:pPr>
        <w:pStyle w:val="Ttulo2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E427A">
        <w:rPr>
          <w:rFonts w:asciiTheme="minorHAnsi" w:hAnsiTheme="minorHAnsi" w:cstheme="minorHAnsi"/>
          <w:b/>
          <w:bCs/>
          <w:color w:val="auto"/>
          <w:sz w:val="24"/>
          <w:szCs w:val="24"/>
        </w:rPr>
        <w:t>Una apuesta conjunta por la ganadería</w:t>
      </w:r>
    </w:p>
    <w:p w14:paraId="07FED354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Al respecto, </w:t>
      </w:r>
      <w:r w:rsidRPr="00200512">
        <w:rPr>
          <w:rStyle w:val="Textoennegrita"/>
          <w:rFonts w:asciiTheme="minorHAnsi" w:hAnsiTheme="minorHAnsi" w:cstheme="minorHAnsi"/>
        </w:rPr>
        <w:t>Maximiliano Farquharson, presidente de Gananor Pujol</w:t>
      </w:r>
      <w:r w:rsidRPr="00200512">
        <w:rPr>
          <w:rFonts w:asciiTheme="minorHAnsi" w:hAnsiTheme="minorHAnsi" w:cstheme="minorHAnsi"/>
        </w:rPr>
        <w:t xml:space="preserve">, expresó: </w:t>
      </w:r>
      <w:r w:rsidRPr="00200512">
        <w:rPr>
          <w:rStyle w:val="nfasis"/>
          <w:rFonts w:asciiTheme="minorHAnsi" w:hAnsiTheme="minorHAnsi" w:cstheme="minorHAnsi"/>
        </w:rPr>
        <w:t>“Creemos que será un gran evento, no solo por las condiciones que Galicia va a poner sobre la mesa, sino por lo que significa que un banco de esta magnitud apueste al campo. Esta alianza nos permite trabajar en nuevas herramientas de financiación que acompañen a los productores y contribuyan a seguir poblando los campos”.</w:t>
      </w:r>
    </w:p>
    <w:p w14:paraId="55FE0239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Farquharson también destacó las expectativas generadas en torno a esta primera edición: </w:t>
      </w:r>
      <w:r w:rsidRPr="00200512">
        <w:rPr>
          <w:rStyle w:val="nfasis"/>
          <w:rFonts w:asciiTheme="minorHAnsi" w:hAnsiTheme="minorHAnsi" w:cstheme="minorHAnsi"/>
        </w:rPr>
        <w:t>“La fuerza de Expoagro para llegar a todos lados nos da mucha visibilidad y nos permite acercar este evento a productores de distintos puntos del país. Esta alianza entre Galicia, Gananor Pujol y Exponenciar potencia la convocatoria y genera un espacio con jugadores muy importantes del sector. Las expectativas son muy altas, no solo de nuestra parte, sino también entre los productores, clientes y amigos con los que venimos conversando”.</w:t>
      </w:r>
    </w:p>
    <w:p w14:paraId="0CA83434" w14:textId="77777777" w:rsidR="00200512" w:rsidRPr="005E427A" w:rsidRDefault="00200512" w:rsidP="00200512">
      <w:pPr>
        <w:pStyle w:val="Ttulo2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E427A">
        <w:rPr>
          <w:rFonts w:asciiTheme="minorHAnsi" w:hAnsiTheme="minorHAnsi" w:cstheme="minorHAnsi"/>
          <w:b/>
          <w:bCs/>
          <w:color w:val="auto"/>
          <w:sz w:val="24"/>
          <w:szCs w:val="24"/>
        </w:rPr>
        <w:t>Cómo seguir el remate</w:t>
      </w:r>
    </w:p>
    <w:p w14:paraId="2BE76D28" w14:textId="77777777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Quienes no puedan participar presencialmente podrán seguir la subasta </w:t>
      </w:r>
      <w:r w:rsidRPr="00200512">
        <w:rPr>
          <w:rStyle w:val="Textoennegrita"/>
          <w:rFonts w:asciiTheme="minorHAnsi" w:hAnsiTheme="minorHAnsi" w:cstheme="minorHAnsi"/>
        </w:rPr>
        <w:t>en vivo a través de Canal Rural y vía streaming por GananorPujol.com y Expoagro.com.ar</w:t>
      </w:r>
      <w:r w:rsidRPr="00200512">
        <w:rPr>
          <w:rFonts w:asciiTheme="minorHAnsi" w:hAnsiTheme="minorHAnsi" w:cstheme="minorHAnsi"/>
        </w:rPr>
        <w:t>, ampliando la participación a productores y compradores de todo el país.</w:t>
      </w:r>
    </w:p>
    <w:p w14:paraId="68536F32" w14:textId="77F1A444" w:rsidR="00200512" w:rsidRPr="00200512" w:rsidRDefault="00200512" w:rsidP="00200512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00512">
        <w:rPr>
          <w:rFonts w:asciiTheme="minorHAnsi" w:hAnsiTheme="minorHAnsi" w:cstheme="minorHAnsi"/>
        </w:rPr>
        <w:t xml:space="preserve">Con </w:t>
      </w:r>
      <w:r w:rsidRPr="00200512">
        <w:rPr>
          <w:rStyle w:val="Textoennegrita"/>
          <w:rFonts w:asciiTheme="minorHAnsi" w:hAnsiTheme="minorHAnsi" w:cstheme="minorHAnsi"/>
        </w:rPr>
        <w:t>más de 13.000 cabezas</w:t>
      </w:r>
      <w:r w:rsidR="000D58A5">
        <w:rPr>
          <w:rStyle w:val="Textoennegrita"/>
          <w:rFonts w:asciiTheme="minorHAnsi" w:hAnsiTheme="minorHAnsi" w:cstheme="minorHAnsi"/>
        </w:rPr>
        <w:t xml:space="preserve"> filmadas</w:t>
      </w:r>
      <w:r w:rsidRPr="00200512">
        <w:rPr>
          <w:rFonts w:asciiTheme="minorHAnsi" w:hAnsiTheme="minorHAnsi" w:cstheme="minorHAnsi"/>
        </w:rPr>
        <w:t xml:space="preserve">, el respaldo de Galicia, la experiencia comercial de Gananor Pujol y la fuerza de Expoagro, mañana comenzará una nueva apuesta destinada </w:t>
      </w:r>
      <w:r w:rsidRPr="00200512">
        <w:rPr>
          <w:rFonts w:asciiTheme="minorHAnsi" w:hAnsiTheme="minorHAnsi" w:cstheme="minorHAnsi"/>
        </w:rPr>
        <w:lastRenderedPageBreak/>
        <w:t>a generar negocios y fortalecer el vínculo entre los distintos protagonistas de la ganadería argentina.</w:t>
      </w:r>
    </w:p>
    <w:p w14:paraId="73D96FD8" w14:textId="63DDBEEF" w:rsidR="00463622" w:rsidRPr="00463622" w:rsidRDefault="00463622" w:rsidP="00463622">
      <w:pPr>
        <w:pStyle w:val="Ttulo1"/>
        <w:spacing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sectPr w:rsidR="00463622" w:rsidRPr="00463622" w:rsidSect="00E728E0">
      <w:headerReference w:type="default" r:id="rId6"/>
      <w:footerReference w:type="default" r:id="rId7"/>
      <w:pgSz w:w="11907" w:h="16839" w:code="9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B2FDC" w14:textId="77777777" w:rsidR="00AE3593" w:rsidRDefault="00AE3593" w:rsidP="00E728E0">
      <w:pPr>
        <w:spacing w:after="0" w:line="240" w:lineRule="auto"/>
      </w:pPr>
      <w:r>
        <w:separator/>
      </w:r>
    </w:p>
  </w:endnote>
  <w:endnote w:type="continuationSeparator" w:id="0">
    <w:p w14:paraId="1F9B1161" w14:textId="77777777" w:rsidR="00AE3593" w:rsidRDefault="00AE3593" w:rsidP="00E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3E05" w14:textId="4C45C2E1" w:rsidR="00E728E0" w:rsidRDefault="00304E8C" w:rsidP="00E728E0">
    <w:pPr>
      <w:pStyle w:val="Piedepgina"/>
      <w:ind w:left="-1701"/>
    </w:pPr>
    <w:r>
      <w:rPr>
        <w:noProof/>
        <w:lang w:eastAsia="es-AR"/>
      </w:rPr>
      <w:drawing>
        <wp:inline distT="0" distB="0" distL="0" distR="0" wp14:anchorId="2B520B5B" wp14:editId="7D638F77">
          <wp:extent cx="7649606" cy="34712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606" cy="347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9697" w14:textId="77777777" w:rsidR="00AE3593" w:rsidRDefault="00AE3593" w:rsidP="00E728E0">
      <w:pPr>
        <w:spacing w:after="0" w:line="240" w:lineRule="auto"/>
      </w:pPr>
      <w:r>
        <w:separator/>
      </w:r>
    </w:p>
  </w:footnote>
  <w:footnote w:type="continuationSeparator" w:id="0">
    <w:p w14:paraId="3209D9E3" w14:textId="77777777" w:rsidR="00AE3593" w:rsidRDefault="00AE3593" w:rsidP="00E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872B" w14:textId="171C1B59" w:rsidR="00E728E0" w:rsidRDefault="00794D9F" w:rsidP="00E728E0">
    <w:pPr>
      <w:pStyle w:val="Encabezado"/>
      <w:ind w:left="-1701"/>
    </w:pPr>
    <w:r>
      <w:rPr>
        <w:noProof/>
        <w:lang w:eastAsia="es-AR"/>
      </w:rPr>
      <w:drawing>
        <wp:inline distT="0" distB="0" distL="0" distR="0" wp14:anchorId="6F3F5373" wp14:editId="1267D6B6">
          <wp:extent cx="7557911" cy="1250781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6078" cy="1262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E0"/>
    <w:rsid w:val="00041A70"/>
    <w:rsid w:val="00074999"/>
    <w:rsid w:val="000D58A5"/>
    <w:rsid w:val="00117812"/>
    <w:rsid w:val="00166A44"/>
    <w:rsid w:val="001E2094"/>
    <w:rsid w:val="00200512"/>
    <w:rsid w:val="002425DC"/>
    <w:rsid w:val="002C66C2"/>
    <w:rsid w:val="00304E8C"/>
    <w:rsid w:val="003066A3"/>
    <w:rsid w:val="003469FF"/>
    <w:rsid w:val="0042338E"/>
    <w:rsid w:val="00437F88"/>
    <w:rsid w:val="00444547"/>
    <w:rsid w:val="00463622"/>
    <w:rsid w:val="00555A6F"/>
    <w:rsid w:val="0055777F"/>
    <w:rsid w:val="005E427A"/>
    <w:rsid w:val="00602EFE"/>
    <w:rsid w:val="00641EC9"/>
    <w:rsid w:val="0065522B"/>
    <w:rsid w:val="00683943"/>
    <w:rsid w:val="00696B5B"/>
    <w:rsid w:val="00697E80"/>
    <w:rsid w:val="006B2CCA"/>
    <w:rsid w:val="0072137A"/>
    <w:rsid w:val="00731A0B"/>
    <w:rsid w:val="00766C38"/>
    <w:rsid w:val="00794D9F"/>
    <w:rsid w:val="007D71FA"/>
    <w:rsid w:val="007F5EAC"/>
    <w:rsid w:val="0085148C"/>
    <w:rsid w:val="008D7D65"/>
    <w:rsid w:val="009405AF"/>
    <w:rsid w:val="00963E1E"/>
    <w:rsid w:val="009871A7"/>
    <w:rsid w:val="00997DED"/>
    <w:rsid w:val="00A14CED"/>
    <w:rsid w:val="00A650F7"/>
    <w:rsid w:val="00A65E2E"/>
    <w:rsid w:val="00A715CA"/>
    <w:rsid w:val="00AE3593"/>
    <w:rsid w:val="00B53E0C"/>
    <w:rsid w:val="00C97739"/>
    <w:rsid w:val="00CA30D4"/>
    <w:rsid w:val="00D47D7E"/>
    <w:rsid w:val="00E670A8"/>
    <w:rsid w:val="00E728E0"/>
    <w:rsid w:val="00E7315D"/>
    <w:rsid w:val="00ED36B6"/>
    <w:rsid w:val="00EE74EB"/>
    <w:rsid w:val="00FA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CE32"/>
  <w15:docId w15:val="{F1AFD3E0-561A-414E-8A99-02416150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42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36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8E0"/>
  </w:style>
  <w:style w:type="paragraph" w:styleId="Piedepgina">
    <w:name w:val="footer"/>
    <w:basedOn w:val="Normal"/>
    <w:link w:val="Piedepgina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8E0"/>
  </w:style>
  <w:style w:type="paragraph" w:styleId="Textodeglobo">
    <w:name w:val="Balloon Text"/>
    <w:basedOn w:val="Normal"/>
    <w:link w:val="TextodegloboCar"/>
    <w:uiPriority w:val="99"/>
    <w:semiHidden/>
    <w:unhideWhenUsed/>
    <w:rsid w:val="008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2425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4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425DC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36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4636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9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</dc:creator>
  <cp:keywords/>
  <dc:description/>
  <cp:lastModifiedBy>Brenda Quattrini</cp:lastModifiedBy>
  <cp:revision>2</cp:revision>
  <dcterms:created xsi:type="dcterms:W3CDTF">2026-08-27T12:26:00Z</dcterms:created>
  <dcterms:modified xsi:type="dcterms:W3CDTF">2026-08-27T12:26:00Z</dcterms:modified>
</cp:coreProperties>
</file>