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Nuevos fierros en la expo: Una hermana mayor y el sueño eléctrico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Dos presentaciones de Ford sorprendieron en Expoagro edición YPF Agro: la potencia de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Bronco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y la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E-Transit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pensando en su consumo. Además de la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Ranger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, que sigue siendo buscada y vigente.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Hasta el viernes 8 de marzo, Ford estará presentando su gama de vehículos en Expoagro.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Fortaleza, pasión, adrenalina</w:t>
      </w:r>
      <w:r w:rsidDel="00000000" w:rsidR="00000000" w:rsidRPr="00000000">
        <w:rPr>
          <w:rFonts w:ascii="Arial" w:cs="Arial" w:eastAsia="Arial" w:hAnsi="Arial"/>
          <w:rtl w:val="0"/>
        </w:rPr>
        <w:t xml:space="preserve">, fueron las tres condiciones que eligió Sebastián Trotta, director de Venta y Marketing de Ford Argentina, para describir a Bronco, “la hermana mayor de Bronco Sport”, dijo, y aseguró en relación a su exhibición en Expoagro 2024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: “Lo que estamos haciendo es como una especie de avant premier”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Según explicó, la Bronco, como la Ranger,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 corresponden con las características generales de la marca: potencia de 300 caballos, alta conexión y vehículo configurable</w:t>
      </w:r>
      <w:r w:rsidDel="00000000" w:rsidR="00000000" w:rsidRPr="00000000">
        <w:rPr>
          <w:rFonts w:ascii="Arial" w:cs="Arial" w:eastAsia="Arial" w:hAnsi="Arial"/>
          <w:rtl w:val="0"/>
        </w:rPr>
        <w:t xml:space="preserve">, ya que “v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os lo podés armar y desarmar; le sacás las puertas, el techo, para lograr una experiencia muy cercana con el entorno”, dijo.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Entre otras características,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“esto permite que el software operativo esté siempre actualizado y se evite asistir pronto al concesionario para hacer esa operación. O que desde tu celular puedas ver variables, monitorear cuestiones del teléfono, estado y salud del vehículo</w:t>
      </w:r>
      <w:r w:rsidDel="00000000" w:rsidR="00000000" w:rsidRPr="00000000">
        <w:rPr>
          <w:rFonts w:ascii="Arial" w:cs="Arial" w:eastAsia="Arial" w:hAnsi="Arial"/>
          <w:rtl w:val="0"/>
        </w:rPr>
        <w:t xml:space="preserve">”, indicó. 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También climatizarlo, sacar turnos online para un servicio de mantenimiento.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“Incluso el retiro del vehículo. Lo mandan a buscar a tu casa, y te lo devuelven en forma gratuita, es un servicio adicional que tenemos para aquellos que se bajan la aplicación FordPass”,</w:t>
      </w:r>
      <w:r w:rsidDel="00000000" w:rsidR="00000000" w:rsidRPr="00000000">
        <w:rPr>
          <w:rFonts w:ascii="Arial" w:cs="Arial" w:eastAsia="Arial" w:hAnsi="Arial"/>
          <w:rtl w:val="0"/>
        </w:rPr>
        <w:t xml:space="preserve"> agregó.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Además, Marcelo Ramos, gerente de Marketing, ratificó: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Nos ha sorprendido la recepción del público y la performance de ventas, se volvió la insignia de la muestra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rtl w:val="0"/>
        </w:rPr>
        <w:t xml:space="preserve">. Cabe mencionar que el vehículo que durante el verano fue exhibido con éxito en Pinamar y hoy se luce en la Muestra.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otro lanzamiento se ajustó a un cambio que no se detiene.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“Se trata de la nueva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E-Transit, un vehículo realmente novedoso, completamente eléctrico, con muchas prestaciones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amplió Ramos en sintonía con los utilitarios Pro de Ford.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Cerca de 160 kilómetros de autonomía y diferentes versiones (múltiples configuraciones de carrocería, con volumen de carga entre 9, 5 y 12,4 metros cúbicos y versión chasis), su precio varía entre 88 millones y 95 millones de pesos.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“Será un vehículo muy conveniente, con un 50% menos de gastos, en relación al consumo de combustible”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reveló Trotta.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</w:rPr>
      </w:pPr>
      <w:bookmarkStart w:colFirst="0" w:colLast="0" w:name="_heading=h.weqvo0qla69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 año desafiante, pero con buenas proyecciones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cuanto a la proyección de Ford, Trotta se refirió al presente como un año desafiante. “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Con una desaceleración en la demanda significativa, durante el primer semestre, a medida que las variables macroeconómicas se ajustan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empezaremos a ver un rebote de la economía</w:t>
      </w:r>
      <w:r w:rsidDel="00000000" w:rsidR="00000000" w:rsidRPr="00000000">
        <w:rPr>
          <w:rFonts w:ascii="Arial" w:cs="Arial" w:eastAsia="Arial" w:hAnsi="Arial"/>
          <w:rtl w:val="0"/>
        </w:rPr>
        <w:t xml:space="preserve">”.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esto, el Director confió en sus proyecciones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. “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Estarán entre 340 y 360 mil unidades, viniendo de una industria de casi 440 mil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”,</w:t>
      </w:r>
      <w:r w:rsidDel="00000000" w:rsidR="00000000" w:rsidRPr="00000000">
        <w:rPr>
          <w:rFonts w:ascii="Arial" w:cs="Arial" w:eastAsia="Arial" w:hAnsi="Arial"/>
          <w:rtl w:val="0"/>
        </w:rPr>
        <w:t xml:space="preserve"> manifestó con la venta de la Ranger, como uno de los caballitos de batalla.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El año pasado crecimos 55% en volumen en toda la región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, eso nos motiva a alcanzar en este un 15% más en la producción para abastecer a los mercados de exportación. A pesar de la baja en la industria en el mercado local”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explicó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todos modos, Trotta celebró el inicio del 2024 con la incidencia de 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Ranger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“Fue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líder del segmento en febrero, con casi un 30% de participación acumulada al año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, y un producto de una generación totalmente renovada, que es un nuevo estándar en cuanto a confort, tecnología y rebote”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concluyó.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-1701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649627" cy="347125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9627" cy="347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-1701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630294" cy="1220333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0294" cy="12203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539D6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 w:val="1"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D7D6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D7D65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1E211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 w:val="1"/>
    <w:rsid w:val="001E2118"/>
    <w:rPr>
      <w:b w:val="1"/>
      <w:bCs w:val="1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cRMwTLfTPV/nVhzAtwAO+fDf5A==">CgMxLjAyDmgud2Vxdm8wcWxhNjlrMgloLjMwajB6bGw4AHIhMS13U29nWVlqTzl2SUJQa2JMblg4VnA2U2hIajJmeUp2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2023-12-20T19:52:00Z</dcterms:created>
  <dc:creator>ANYI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0x0101007BFD042C3F9CCB46A6B8039876ED53D5</vt:lpwstr>
  </property>
</Properties>
</file>