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9E0A" w14:textId="77777777" w:rsidR="005E13FF" w:rsidRPr="00785E0C" w:rsidRDefault="005E13FF" w:rsidP="005E13FF">
      <w:pPr>
        <w:pStyle w:val="xmsonormal"/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p w14:paraId="4D24CCFF" w14:textId="77777777" w:rsidR="005E13FF" w:rsidRPr="00785E0C" w:rsidRDefault="005E13FF" w:rsidP="005E13FF">
      <w:pPr>
        <w:pStyle w:val="xmsonormal"/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  <w:r w:rsidRPr="00785E0C">
        <w:rPr>
          <w:rFonts w:ascii="Calibri" w:hAnsi="Calibri" w:cs="Calibri"/>
          <w:b/>
          <w:sz w:val="28"/>
          <w:szCs w:val="28"/>
        </w:rPr>
        <w:t xml:space="preserve">Oportunidades de financiamiento para el sector agroindustrial con </w:t>
      </w:r>
      <w:proofErr w:type="spellStart"/>
      <w:r w:rsidRPr="00785E0C">
        <w:rPr>
          <w:rFonts w:ascii="Calibri" w:hAnsi="Calibri" w:cs="Calibri"/>
          <w:b/>
          <w:sz w:val="28"/>
          <w:szCs w:val="28"/>
        </w:rPr>
        <w:t>Procampo</w:t>
      </w:r>
      <w:proofErr w:type="spellEnd"/>
      <w:r w:rsidRPr="00785E0C">
        <w:rPr>
          <w:rFonts w:ascii="Calibri" w:hAnsi="Calibri" w:cs="Calibri"/>
          <w:b/>
          <w:sz w:val="28"/>
          <w:szCs w:val="28"/>
        </w:rPr>
        <w:t xml:space="preserve"> Digital</w:t>
      </w:r>
    </w:p>
    <w:p w14:paraId="17D92F53" w14:textId="77777777" w:rsidR="005E13FF" w:rsidRPr="005E13FF" w:rsidRDefault="005E13FF" w:rsidP="005E13FF">
      <w:pPr>
        <w:pStyle w:val="xmsonormal"/>
        <w:autoSpaceDE w:val="0"/>
        <w:autoSpaceDN w:val="0"/>
        <w:jc w:val="center"/>
        <w:rPr>
          <w:rFonts w:ascii="Calibri" w:hAnsi="Calibri" w:cs="Calibri"/>
          <w:sz w:val="28"/>
          <w:szCs w:val="28"/>
        </w:rPr>
      </w:pPr>
    </w:p>
    <w:p w14:paraId="01F95115" w14:textId="77777777" w:rsidR="005E13FF" w:rsidRPr="005E13FF" w:rsidRDefault="005E13FF" w:rsidP="005E13FF">
      <w:pPr>
        <w:pStyle w:val="xmsonormal"/>
        <w:autoSpaceDE w:val="0"/>
        <w:autoSpaceDN w:val="0"/>
        <w:jc w:val="center"/>
        <w:rPr>
          <w:rFonts w:ascii="Calibri" w:hAnsi="Calibri" w:cs="Calibri"/>
          <w:i/>
        </w:rPr>
      </w:pPr>
      <w:bookmarkStart w:id="0" w:name="_GoBack"/>
      <w:r w:rsidRPr="005E13FF">
        <w:rPr>
          <w:rFonts w:ascii="Calibri" w:hAnsi="Calibri" w:cs="Calibri"/>
          <w:i/>
        </w:rPr>
        <w:t>Llega la 44° edición de la Expo Angus de Primavera en la Sociedad Rural de Olavarría. Allí, Banco Provincia</w:t>
      </w:r>
      <w:r w:rsidR="00FB2FAC">
        <w:rPr>
          <w:rFonts w:ascii="Calibri" w:hAnsi="Calibri" w:cs="Calibri"/>
          <w:i/>
        </w:rPr>
        <w:t xml:space="preserve"> </w:t>
      </w:r>
      <w:r w:rsidRPr="005E13FF">
        <w:rPr>
          <w:rFonts w:ascii="Calibri" w:hAnsi="Calibri" w:cs="Calibri"/>
          <w:i/>
          <w:color w:val="000000"/>
        </w:rPr>
        <w:t>brindará atención comerc</w:t>
      </w:r>
      <w:r>
        <w:rPr>
          <w:rFonts w:ascii="Calibri" w:hAnsi="Calibri" w:cs="Calibri"/>
          <w:i/>
          <w:color w:val="000000"/>
        </w:rPr>
        <w:t>ial a los visitantes</w:t>
      </w:r>
      <w:r w:rsidRPr="005E13FF">
        <w:rPr>
          <w:rFonts w:ascii="Calibri" w:hAnsi="Calibri" w:cs="Calibri"/>
          <w:i/>
          <w:color w:val="000000"/>
        </w:rPr>
        <w:t xml:space="preserve"> sobre los productos y servicios específicos </w:t>
      </w:r>
      <w:r>
        <w:rPr>
          <w:rFonts w:ascii="Calibri" w:hAnsi="Calibri" w:cs="Calibri"/>
          <w:i/>
          <w:color w:val="000000"/>
        </w:rPr>
        <w:t>destinadas al sector</w:t>
      </w:r>
      <w:r w:rsidRPr="005E13FF">
        <w:rPr>
          <w:rFonts w:ascii="Calibri" w:hAnsi="Calibri" w:cs="Calibri"/>
          <w:i/>
          <w:color w:val="000000"/>
        </w:rPr>
        <w:t xml:space="preserve"> y </w:t>
      </w:r>
      <w:r>
        <w:rPr>
          <w:rFonts w:ascii="Calibri" w:hAnsi="Calibri" w:cs="Calibri"/>
          <w:i/>
          <w:color w:val="000000"/>
        </w:rPr>
        <w:t xml:space="preserve">ofrecerá </w:t>
      </w:r>
      <w:r w:rsidR="00FB2FAC">
        <w:rPr>
          <w:rFonts w:ascii="Calibri" w:hAnsi="Calibri" w:cs="Calibri"/>
          <w:bCs/>
          <w:i/>
          <w:color w:val="000000"/>
        </w:rPr>
        <w:t>financiamiento para</w:t>
      </w:r>
      <w:r w:rsidR="00FB2FAC" w:rsidRPr="005E13FF">
        <w:rPr>
          <w:rFonts w:ascii="Calibri" w:hAnsi="Calibri" w:cs="Calibri"/>
          <w:bCs/>
          <w:i/>
          <w:color w:val="000000"/>
        </w:rPr>
        <w:t xml:space="preserve"> la compra de vientres y toros en remates de cabañas</w:t>
      </w:r>
      <w:r w:rsidR="00FB2FAC">
        <w:rPr>
          <w:rFonts w:ascii="Calibri" w:hAnsi="Calibri" w:cs="Calibri"/>
          <w:i/>
          <w:color w:val="000000"/>
        </w:rPr>
        <w:t xml:space="preserve"> a través de </w:t>
      </w:r>
      <w:r>
        <w:rPr>
          <w:rFonts w:ascii="Calibri" w:hAnsi="Calibri" w:cs="Calibri"/>
          <w:i/>
          <w:color w:val="000000"/>
        </w:rPr>
        <w:t>su nueva</w:t>
      </w:r>
      <w:r w:rsidRPr="005E13FF">
        <w:rPr>
          <w:rFonts w:ascii="Calibri" w:hAnsi="Calibri" w:cs="Calibri"/>
          <w:bCs/>
          <w:i/>
          <w:color w:val="000000"/>
        </w:rPr>
        <w:t xml:space="preserve"> solución tecnológica </w:t>
      </w:r>
      <w:proofErr w:type="spellStart"/>
      <w:r w:rsidRPr="005E13FF">
        <w:rPr>
          <w:rFonts w:ascii="Calibri" w:hAnsi="Calibri" w:cs="Calibri"/>
          <w:bCs/>
          <w:i/>
          <w:color w:val="000000"/>
        </w:rPr>
        <w:t>Procampo</w:t>
      </w:r>
      <w:proofErr w:type="spellEnd"/>
      <w:r w:rsidRPr="005E13FF">
        <w:rPr>
          <w:rFonts w:ascii="Calibri" w:hAnsi="Calibri" w:cs="Calibri"/>
          <w:bCs/>
          <w:i/>
          <w:color w:val="000000"/>
        </w:rPr>
        <w:t xml:space="preserve"> Digit</w:t>
      </w:r>
      <w:r w:rsidR="00FB2FAC">
        <w:rPr>
          <w:rFonts w:ascii="Calibri" w:hAnsi="Calibri" w:cs="Calibri"/>
          <w:bCs/>
          <w:i/>
          <w:color w:val="000000"/>
        </w:rPr>
        <w:t>al</w:t>
      </w:r>
      <w:r w:rsidRPr="005E13FF">
        <w:rPr>
          <w:rFonts w:ascii="Calibri" w:hAnsi="Calibri" w:cs="Calibri"/>
          <w:bCs/>
          <w:i/>
          <w:color w:val="000000"/>
        </w:rPr>
        <w:t>.</w:t>
      </w:r>
    </w:p>
    <w:p w14:paraId="54A84282" w14:textId="77777777" w:rsidR="005E13FF" w:rsidRPr="005E13FF" w:rsidRDefault="005E13FF" w:rsidP="005E13FF">
      <w:pPr>
        <w:pStyle w:val="xmsonormal"/>
        <w:autoSpaceDE w:val="0"/>
        <w:autoSpaceDN w:val="0"/>
        <w:jc w:val="center"/>
        <w:rPr>
          <w:rFonts w:ascii="Calibri" w:hAnsi="Calibri" w:cs="Calibri"/>
          <w:sz w:val="28"/>
          <w:szCs w:val="28"/>
        </w:rPr>
      </w:pPr>
    </w:p>
    <w:p w14:paraId="560C51B0" w14:textId="77777777" w:rsidR="005E13FF" w:rsidRPr="005E13FF" w:rsidRDefault="005E13FF" w:rsidP="005E13FF">
      <w:pPr>
        <w:pStyle w:val="xmsonormal"/>
        <w:autoSpaceDE w:val="0"/>
        <w:autoSpaceDN w:val="0"/>
        <w:rPr>
          <w:rFonts w:ascii="Calibri" w:hAnsi="Calibri" w:cs="Calibri"/>
          <w:sz w:val="22"/>
          <w:szCs w:val="22"/>
        </w:rPr>
      </w:pPr>
      <w:r w:rsidRPr="005E13FF">
        <w:rPr>
          <w:rFonts w:ascii="Calibri" w:hAnsi="Calibri" w:cs="Calibri"/>
          <w:color w:val="000000"/>
          <w:sz w:val="22"/>
          <w:szCs w:val="22"/>
        </w:rPr>
        <w:t> </w:t>
      </w:r>
    </w:p>
    <w:p w14:paraId="31A6C353" w14:textId="77777777" w:rsidR="005E13FF" w:rsidRPr="00E35079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  <w:b/>
        </w:rPr>
      </w:pPr>
      <w:r w:rsidRPr="005E13FF">
        <w:rPr>
          <w:rFonts w:ascii="Calibri" w:hAnsi="Calibri" w:cs="Calibri"/>
          <w:bCs/>
          <w:color w:val="000000"/>
        </w:rPr>
        <w:t xml:space="preserve">La banca pública bonaerense participa como </w:t>
      </w:r>
      <w:proofErr w:type="spellStart"/>
      <w:r w:rsidRPr="00E35079">
        <w:rPr>
          <w:rFonts w:ascii="Calibri" w:hAnsi="Calibri" w:cs="Calibri"/>
          <w:b/>
          <w:bCs/>
          <w:color w:val="000000"/>
        </w:rPr>
        <w:t>Main</w:t>
      </w:r>
      <w:proofErr w:type="spellEnd"/>
      <w:r w:rsidRPr="00E35079">
        <w:rPr>
          <w:rFonts w:ascii="Calibri" w:hAnsi="Calibri" w:cs="Calibri"/>
          <w:b/>
          <w:bCs/>
          <w:color w:val="000000"/>
        </w:rPr>
        <w:t xml:space="preserve"> Sponsor de la 44° Exposición Nacional Angus de Primavera </w:t>
      </w:r>
      <w:r w:rsidR="00E35079">
        <w:rPr>
          <w:rFonts w:ascii="Calibri" w:hAnsi="Calibri" w:cs="Calibri"/>
          <w:b/>
          <w:bCs/>
          <w:color w:val="000000"/>
        </w:rPr>
        <w:t xml:space="preserve">con la fuerza de Expoagro, </w:t>
      </w:r>
      <w:r w:rsidRPr="00E35079">
        <w:rPr>
          <w:rFonts w:ascii="Calibri" w:hAnsi="Calibri" w:cs="Calibri"/>
          <w:b/>
          <w:bCs/>
          <w:color w:val="000000"/>
        </w:rPr>
        <w:t>que se realizará del 19 al 22 de septiembre en la Sociedad Rural de Olavarría</w:t>
      </w:r>
      <w:r w:rsidRPr="005E13FF">
        <w:rPr>
          <w:rFonts w:ascii="Calibri" w:hAnsi="Calibri" w:cs="Calibri"/>
          <w:bCs/>
          <w:color w:val="000000"/>
        </w:rPr>
        <w:t xml:space="preserve">, donde contará con un stand de 40 m2 en el perímetro de la Pista de </w:t>
      </w:r>
      <w:proofErr w:type="spellStart"/>
      <w:r w:rsidRPr="005E13FF">
        <w:rPr>
          <w:rFonts w:ascii="Calibri" w:hAnsi="Calibri" w:cs="Calibri"/>
          <w:bCs/>
          <w:color w:val="000000"/>
        </w:rPr>
        <w:t>Jura.Entre</w:t>
      </w:r>
      <w:proofErr w:type="spellEnd"/>
      <w:r w:rsidRPr="005E13FF">
        <w:rPr>
          <w:rFonts w:ascii="Calibri" w:hAnsi="Calibri" w:cs="Calibri"/>
          <w:bCs/>
          <w:color w:val="000000"/>
        </w:rPr>
        <w:t xml:space="preserve"> los beneficios destacados que estarán vigentes durante la muestra se encuentra la acción especial a través de la solución tecnológica </w:t>
      </w:r>
      <w:proofErr w:type="spellStart"/>
      <w:r w:rsidRPr="00E35079">
        <w:rPr>
          <w:rFonts w:ascii="Calibri" w:hAnsi="Calibri" w:cs="Calibri"/>
          <w:b/>
          <w:bCs/>
          <w:color w:val="000000"/>
        </w:rPr>
        <w:t>Procampo</w:t>
      </w:r>
      <w:proofErr w:type="spellEnd"/>
      <w:r w:rsidRPr="00E35079">
        <w:rPr>
          <w:rFonts w:ascii="Calibri" w:hAnsi="Calibri" w:cs="Calibri"/>
          <w:b/>
          <w:bCs/>
          <w:color w:val="000000"/>
        </w:rPr>
        <w:t xml:space="preserve"> Digital</w:t>
      </w:r>
      <w:r w:rsidRPr="005E13FF">
        <w:rPr>
          <w:rFonts w:ascii="Calibri" w:hAnsi="Calibri" w:cs="Calibri"/>
          <w:bCs/>
          <w:color w:val="000000"/>
        </w:rPr>
        <w:t xml:space="preserve">, </w:t>
      </w:r>
      <w:r w:rsidRPr="00E35079">
        <w:rPr>
          <w:rFonts w:ascii="Calibri" w:hAnsi="Calibri" w:cs="Calibri"/>
          <w:b/>
          <w:bCs/>
          <w:color w:val="000000"/>
        </w:rPr>
        <w:t xml:space="preserve">que ofrece financiamiento en la compra de vientres y toros en remates de cabañas con una tasa del 58% anual a un plazo de 360 días. </w:t>
      </w:r>
    </w:p>
    <w:p w14:paraId="65A020B1" w14:textId="77777777" w:rsidR="005E13FF" w:rsidRPr="005E13FF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bCs/>
          <w:color w:val="000000"/>
        </w:rPr>
        <w:t> </w:t>
      </w:r>
    </w:p>
    <w:p w14:paraId="4B130276" w14:textId="77777777" w:rsidR="005E13FF" w:rsidRPr="005E13FF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bCs/>
          <w:color w:val="000000"/>
        </w:rPr>
        <w:t xml:space="preserve">A través de </w:t>
      </w:r>
      <w:proofErr w:type="spellStart"/>
      <w:r w:rsidRPr="00E35079">
        <w:rPr>
          <w:rFonts w:ascii="Calibri" w:hAnsi="Calibri" w:cs="Calibri"/>
          <w:b/>
          <w:bCs/>
          <w:color w:val="000000"/>
        </w:rPr>
        <w:t>Procampo</w:t>
      </w:r>
      <w:proofErr w:type="spellEnd"/>
      <w:r w:rsidRPr="00E35079">
        <w:rPr>
          <w:rFonts w:ascii="Calibri" w:hAnsi="Calibri" w:cs="Calibri"/>
          <w:b/>
          <w:bCs/>
          <w:color w:val="000000"/>
        </w:rPr>
        <w:t xml:space="preserve"> Digital</w:t>
      </w:r>
      <w:r w:rsidR="00E35079">
        <w:rPr>
          <w:rFonts w:ascii="Calibri" w:hAnsi="Calibri" w:cs="Calibri"/>
          <w:bCs/>
          <w:color w:val="000000"/>
        </w:rPr>
        <w:t>,</w:t>
      </w:r>
      <w:r w:rsidRPr="005E13FF">
        <w:rPr>
          <w:rFonts w:ascii="Calibri" w:hAnsi="Calibri" w:cs="Calibri"/>
          <w:bCs/>
          <w:color w:val="000000"/>
        </w:rPr>
        <w:t xml:space="preserve"> los clientes de </w:t>
      </w:r>
      <w:r w:rsidRPr="007B1C27">
        <w:rPr>
          <w:rFonts w:ascii="Calibri" w:hAnsi="Calibri" w:cs="Calibri"/>
          <w:b/>
          <w:bCs/>
          <w:color w:val="000000"/>
        </w:rPr>
        <w:t>Banco Provincia</w:t>
      </w:r>
      <w:r w:rsidRPr="005E13FF">
        <w:rPr>
          <w:rFonts w:ascii="Calibri" w:hAnsi="Calibri" w:cs="Calibri"/>
          <w:bCs/>
          <w:color w:val="000000"/>
        </w:rPr>
        <w:t xml:space="preserve"> pueden también adquirir productos de YPF Agro en hasta 180 días de plazo con una tasa de 62% anual. </w:t>
      </w:r>
      <w:r w:rsidRPr="007B1C27">
        <w:rPr>
          <w:rFonts w:ascii="Calibri" w:hAnsi="Calibri" w:cs="Calibri"/>
          <w:b/>
          <w:color w:val="000000"/>
        </w:rPr>
        <w:t xml:space="preserve">La nueva herramienta tecnológica funciona dentro del home </w:t>
      </w:r>
      <w:proofErr w:type="spellStart"/>
      <w:r w:rsidRPr="007B1C27">
        <w:rPr>
          <w:rFonts w:ascii="Calibri" w:hAnsi="Calibri" w:cs="Calibri"/>
          <w:b/>
          <w:color w:val="000000"/>
        </w:rPr>
        <w:t>banking</w:t>
      </w:r>
      <w:proofErr w:type="spellEnd"/>
      <w:r w:rsidRPr="007B1C27">
        <w:rPr>
          <w:rFonts w:ascii="Calibri" w:hAnsi="Calibri" w:cs="Calibri"/>
          <w:b/>
          <w:color w:val="000000"/>
        </w:rPr>
        <w:t xml:space="preserve"> y les permite a personas y empresas </w:t>
      </w:r>
      <w:r w:rsidRPr="007B1C27">
        <w:rPr>
          <w:rFonts w:ascii="Calibri" w:hAnsi="Calibri" w:cs="Calibri"/>
          <w:b/>
          <w:bCs/>
          <w:color w:val="000000"/>
        </w:rPr>
        <w:t>financiar la compra de insumos y bienes, contando con plazos de pago acordes a la propia generación de recursos</w:t>
      </w:r>
      <w:r w:rsidRPr="005E13FF">
        <w:rPr>
          <w:rFonts w:ascii="Calibri" w:hAnsi="Calibri" w:cs="Calibri"/>
          <w:bCs/>
          <w:color w:val="000000"/>
        </w:rPr>
        <w:t xml:space="preserve">. </w:t>
      </w:r>
      <w:r w:rsidRPr="005E13FF">
        <w:rPr>
          <w:rFonts w:ascii="Calibri" w:hAnsi="Calibri" w:cs="Calibri"/>
          <w:color w:val="000000"/>
        </w:rPr>
        <w:t>Es una plataforma digital de procesamiento propio íntegramente desarrollada por el área de Tecnología de la banca pública bonaerense.  </w:t>
      </w:r>
    </w:p>
    <w:p w14:paraId="335252BE" w14:textId="77777777" w:rsidR="005E13FF" w:rsidRPr="005E13FF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783D0FBF" w14:textId="77777777" w:rsidR="005E13FF" w:rsidRPr="005E13FF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 xml:space="preserve">Como es habitual, en el stand del banco el equipo de </w:t>
      </w:r>
      <w:r w:rsidRPr="007B1C27">
        <w:rPr>
          <w:rFonts w:ascii="Calibri" w:hAnsi="Calibri" w:cs="Calibri"/>
          <w:b/>
          <w:color w:val="000000"/>
        </w:rPr>
        <w:t>Banca Agropecuaria</w:t>
      </w:r>
      <w:r w:rsidRPr="005E13FF">
        <w:rPr>
          <w:rFonts w:ascii="Calibri" w:hAnsi="Calibri" w:cs="Calibri"/>
          <w:color w:val="000000"/>
        </w:rPr>
        <w:t xml:space="preserve"> brindará atención comercial y asesorará a los visitantes sobre los productos y servicios específicos para el sector agroindustrial.</w:t>
      </w:r>
    </w:p>
    <w:p w14:paraId="59921296" w14:textId="77777777" w:rsidR="005E13FF" w:rsidRPr="005E13FF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53DFFC9A" w14:textId="77777777" w:rsidR="005E13FF" w:rsidRPr="005E13FF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 xml:space="preserve">En lo que va del año </w:t>
      </w:r>
      <w:r w:rsidRPr="007B1C27">
        <w:rPr>
          <w:rFonts w:ascii="Calibri" w:hAnsi="Calibri" w:cs="Calibri"/>
          <w:b/>
          <w:color w:val="000000"/>
        </w:rPr>
        <w:t>Banco Provincia</w:t>
      </w:r>
      <w:r w:rsidRPr="005E13FF">
        <w:rPr>
          <w:rFonts w:ascii="Calibri" w:hAnsi="Calibri" w:cs="Calibri"/>
          <w:color w:val="000000"/>
        </w:rPr>
        <w:t xml:space="preserve"> colocó más de 457 mil millones de pesos en créditos al sector agroindustrial. La cifra representa un incremento interanual de 142% en relación a 2022.</w:t>
      </w:r>
    </w:p>
    <w:p w14:paraId="52EA804D" w14:textId="77777777" w:rsidR="005E13FF" w:rsidRPr="005E13FF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0948FA72" w14:textId="77777777" w:rsidR="005E13FF" w:rsidRPr="007B1C27" w:rsidRDefault="005E13FF" w:rsidP="005E13FF">
      <w:pPr>
        <w:pStyle w:val="xmsonormal"/>
        <w:autoSpaceDE w:val="0"/>
        <w:autoSpaceDN w:val="0"/>
        <w:spacing w:line="276" w:lineRule="auto"/>
        <w:jc w:val="both"/>
        <w:rPr>
          <w:rFonts w:ascii="Calibri" w:hAnsi="Calibri" w:cs="Calibri"/>
          <w:b/>
        </w:rPr>
      </w:pPr>
      <w:r w:rsidRPr="007B1C27">
        <w:rPr>
          <w:rFonts w:ascii="Calibri" w:hAnsi="Calibri" w:cs="Calibri"/>
          <w:b/>
          <w:bCs/>
          <w:color w:val="000000"/>
        </w:rPr>
        <w:t>Otras líneas de créditos con tasas especiales para el sector agroindustrial</w:t>
      </w:r>
    </w:p>
    <w:p w14:paraId="4FBC8D2D" w14:textId="77777777" w:rsidR="005E13FF" w:rsidRPr="005E13FF" w:rsidRDefault="005E13FF" w:rsidP="005E13FF">
      <w:pPr>
        <w:pStyle w:val="xmsonormal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0F80E62B" w14:textId="77777777" w:rsidR="005E13FF" w:rsidRPr="007B1C27" w:rsidRDefault="005E13FF" w:rsidP="005E13FF">
      <w:pPr>
        <w:pStyle w:val="xmsonormal"/>
        <w:spacing w:line="276" w:lineRule="auto"/>
        <w:jc w:val="both"/>
        <w:rPr>
          <w:rFonts w:ascii="Calibri" w:hAnsi="Calibri" w:cs="Calibri"/>
          <w:b/>
        </w:rPr>
      </w:pPr>
      <w:r w:rsidRPr="007B1C27">
        <w:rPr>
          <w:rFonts w:ascii="Calibri" w:hAnsi="Calibri" w:cs="Calibri"/>
          <w:b/>
          <w:bCs/>
          <w:color w:val="000000"/>
        </w:rPr>
        <w:t>Inversión especial para Frigoríficos </w:t>
      </w:r>
    </w:p>
    <w:p w14:paraId="5F0ACBE6" w14:textId="77777777" w:rsidR="005E13FF" w:rsidRPr="005E13FF" w:rsidRDefault="005E13FF" w:rsidP="005E13FF">
      <w:pPr>
        <w:pStyle w:val="xmsonormal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bCs/>
          <w:color w:val="000000"/>
        </w:rPr>
        <w:t> </w:t>
      </w:r>
    </w:p>
    <w:p w14:paraId="3C3D0CF3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lastRenderedPageBreak/>
        <w:t>·      Financiación de proyectos de inversión para el acondicionamiento edilicio, incorporación y/o ampliación de infraestructura, cámaras frigoríficas y otros equipamientos. </w:t>
      </w:r>
    </w:p>
    <w:p w14:paraId="0D268A51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Hasta $ 30 millones por préstamo. </w:t>
      </w:r>
    </w:p>
    <w:p w14:paraId="1A94F635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48 meses de plazo, con 6 de gracia. </w:t>
      </w:r>
    </w:p>
    <w:p w14:paraId="5FB60C3E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Tasa fija de 61% anual, subsidiada por el Ministerio de Producción PBA. </w:t>
      </w:r>
    </w:p>
    <w:p w14:paraId="6600A12E" w14:textId="77777777" w:rsidR="005E13FF" w:rsidRPr="005E13FF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413448D0" w14:textId="77777777" w:rsidR="005E13FF" w:rsidRPr="007B1C27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7B1C27">
        <w:rPr>
          <w:rFonts w:ascii="Calibri" w:hAnsi="Calibri" w:cs="Calibri"/>
          <w:b/>
          <w:bCs/>
          <w:color w:val="000000"/>
        </w:rPr>
        <w:t>Programa para el fortalecimiento de la cadena láctea </w:t>
      </w:r>
    </w:p>
    <w:p w14:paraId="0DDA2B02" w14:textId="77777777" w:rsidR="005E13FF" w:rsidRPr="005E13FF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bCs/>
          <w:color w:val="000000"/>
        </w:rPr>
        <w:t> </w:t>
      </w:r>
    </w:p>
    <w:p w14:paraId="05B09E3B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 xml:space="preserve">·      Financiación de proyectos de inversión con destino a la implementación o mejora de sistemas de tratamiento de </w:t>
      </w:r>
      <w:proofErr w:type="spellStart"/>
      <w:r w:rsidRPr="005E13FF">
        <w:rPr>
          <w:rFonts w:ascii="Calibri" w:hAnsi="Calibri" w:cs="Calibri"/>
          <w:color w:val="000000"/>
        </w:rPr>
        <w:t>eﬂuentes</w:t>
      </w:r>
      <w:proofErr w:type="spellEnd"/>
      <w:r w:rsidRPr="005E13FF">
        <w:rPr>
          <w:rFonts w:ascii="Calibri" w:hAnsi="Calibri" w:cs="Calibri"/>
          <w:color w:val="000000"/>
        </w:rPr>
        <w:t>. </w:t>
      </w:r>
    </w:p>
    <w:p w14:paraId="63B3013E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Hasta $ 12,5 millones por préstamo. </w:t>
      </w:r>
    </w:p>
    <w:p w14:paraId="6543901F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Hasta 48 meses de plazo. </w:t>
      </w:r>
    </w:p>
    <w:p w14:paraId="6BFCE4FA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Tasa fija desde 64% anual, subsidiada por el Fondo Fiduciario Provincia en Marcha. </w:t>
      </w:r>
    </w:p>
    <w:p w14:paraId="5FE9445A" w14:textId="77777777" w:rsidR="005E13FF" w:rsidRPr="005E13FF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12F02284" w14:textId="77777777" w:rsidR="005E13FF" w:rsidRPr="007B1C27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7B1C27">
        <w:rPr>
          <w:rFonts w:ascii="Calibri" w:hAnsi="Calibri" w:cs="Calibri"/>
          <w:b/>
          <w:bCs/>
          <w:color w:val="000000"/>
        </w:rPr>
        <w:t>Línea Agro Sustentable </w:t>
      </w:r>
    </w:p>
    <w:p w14:paraId="2168D20F" w14:textId="77777777" w:rsidR="005E13FF" w:rsidRPr="005E13FF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bCs/>
          <w:color w:val="000000"/>
        </w:rPr>
        <w:t> </w:t>
      </w:r>
    </w:p>
    <w:p w14:paraId="4D4F5474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Financiación de inversión destinada a la implementación de biodigestores en la Provincia de Buenos Aires. </w:t>
      </w:r>
    </w:p>
    <w:p w14:paraId="7767B928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Hasta $ 12,5 millones por préstamo. </w:t>
      </w:r>
    </w:p>
    <w:p w14:paraId="61373D9F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Hasta 48 meses de plazo. </w:t>
      </w:r>
    </w:p>
    <w:p w14:paraId="1F43F3FA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Tasa fija desde 68% anual, subsidiada por el Fondo Fiduciario Provincia en Marcha. </w:t>
      </w:r>
    </w:p>
    <w:p w14:paraId="0CF370ED" w14:textId="77777777" w:rsidR="005E13FF" w:rsidRPr="005E13FF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723FE2ED" w14:textId="77777777" w:rsidR="005E13FF" w:rsidRPr="007B1C27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7B1C27">
        <w:rPr>
          <w:rFonts w:ascii="Calibri" w:hAnsi="Calibri" w:cs="Calibri"/>
          <w:b/>
          <w:bCs/>
          <w:color w:val="000000"/>
        </w:rPr>
        <w:t>Fortalecimiento del sector Frutícola </w:t>
      </w:r>
    </w:p>
    <w:p w14:paraId="17F18C18" w14:textId="77777777" w:rsidR="005E13FF" w:rsidRPr="005E13FF" w:rsidRDefault="005E13FF" w:rsidP="005E13FF">
      <w:pPr>
        <w:pStyle w:val="xmsonormal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bCs/>
          <w:color w:val="000000"/>
        </w:rPr>
        <w:t> </w:t>
      </w:r>
    </w:p>
    <w:p w14:paraId="28984113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Financiación de proyectos destinados a iniciar una nueva plantación frutícola, ampliarla o renovarla, o para la ejecución de tareas destinadas a incrementar la productividad del monte frutícola. </w:t>
      </w:r>
    </w:p>
    <w:p w14:paraId="74052CE6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Hasta $ 25 millones.  </w:t>
      </w:r>
    </w:p>
    <w:p w14:paraId="059859D6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60 meses de plazo, con dos años de gracia. </w:t>
      </w:r>
    </w:p>
    <w:p w14:paraId="40BB17F8" w14:textId="77777777" w:rsidR="005E13FF" w:rsidRPr="005E13FF" w:rsidRDefault="005E13FF" w:rsidP="005E13FF">
      <w:pPr>
        <w:pStyle w:val="xmsolistparagraph"/>
        <w:spacing w:line="276" w:lineRule="auto"/>
        <w:ind w:left="284" w:hanging="284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·      Tasa fija de 19% anual durante los primeros 24 meses, subsidiada por el Fondo Fiduciario Provincia en Marcha. </w:t>
      </w:r>
    </w:p>
    <w:p w14:paraId="64936BE5" w14:textId="77777777" w:rsidR="005E13FF" w:rsidRPr="005E13FF" w:rsidRDefault="005E13FF" w:rsidP="005E13FF">
      <w:pPr>
        <w:pStyle w:val="xmsonormal"/>
        <w:spacing w:line="276" w:lineRule="auto"/>
        <w:jc w:val="both"/>
        <w:rPr>
          <w:rFonts w:ascii="Calibri" w:hAnsi="Calibri" w:cs="Calibri"/>
        </w:rPr>
      </w:pPr>
      <w:r w:rsidRPr="005E13FF">
        <w:rPr>
          <w:rFonts w:ascii="Calibri" w:hAnsi="Calibri" w:cs="Calibri"/>
          <w:color w:val="000000"/>
        </w:rPr>
        <w:t> </w:t>
      </w:r>
    </w:p>
    <w:p w14:paraId="069F1220" w14:textId="77777777" w:rsidR="009433D4" w:rsidRDefault="009433D4" w:rsidP="005E13FF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F87189D" w14:textId="77777777" w:rsidR="00EC4BAA" w:rsidRPr="009433D4" w:rsidRDefault="009433D4" w:rsidP="005E13F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Con más de 450 animales inscriptos, la Expo Angus de Primavera reúne</w:t>
      </w:r>
      <w:r w:rsidRPr="009433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expertos, profesionales y entusiastas del mundo ganadero, creando un ambiente propicio para el intercambio de conocimientos, la promoción de productos y servicios, y el fortalecimiento de la comunidad ganadera en su conjunto. Como es tradición en </w:t>
      </w:r>
      <w:r w:rsidRPr="009433D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los </w:t>
      </w:r>
      <w:r w:rsidRPr="009433D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 xml:space="preserve">eventos organizados por Expoagro, las juras, los remates y las palabras de los protagonistas podrán seguirse en VIVO a través de </w:t>
      </w:r>
      <w:hyperlink r:id="rId10" w:history="1">
        <w:r w:rsidRPr="009433D4">
          <w:rPr>
            <w:rStyle w:val="Hipervnculo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www.expoagro.com.ar</w:t>
        </w:r>
      </w:hyperlink>
      <w:bookmarkEnd w:id="0"/>
    </w:p>
    <w:sectPr w:rsidR="00EC4BAA" w:rsidRPr="009433D4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3D17" w14:textId="77777777" w:rsidR="0009346F" w:rsidRDefault="0009346F" w:rsidP="00E728E0">
      <w:pPr>
        <w:spacing w:line="240" w:lineRule="auto"/>
      </w:pPr>
      <w:r>
        <w:separator/>
      </w:r>
    </w:p>
  </w:endnote>
  <w:endnote w:type="continuationSeparator" w:id="0">
    <w:p w14:paraId="1D8DD603" w14:textId="77777777" w:rsidR="0009346F" w:rsidRDefault="0009346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D88C" w14:textId="77777777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75E6C7F8" wp14:editId="31925A19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B5A2" w14:textId="77777777" w:rsidR="0009346F" w:rsidRDefault="0009346F" w:rsidP="00E728E0">
      <w:pPr>
        <w:spacing w:line="240" w:lineRule="auto"/>
      </w:pPr>
      <w:r>
        <w:separator/>
      </w:r>
    </w:p>
  </w:footnote>
  <w:footnote w:type="continuationSeparator" w:id="0">
    <w:p w14:paraId="5AE78A1C" w14:textId="77777777" w:rsidR="0009346F" w:rsidRDefault="0009346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EA66" w14:textId="77777777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15C00AC0" wp14:editId="0369336E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86748"/>
    <w:rsid w:val="0009346F"/>
    <w:rsid w:val="000C53EA"/>
    <w:rsid w:val="00117812"/>
    <w:rsid w:val="00133D94"/>
    <w:rsid w:val="00144DF5"/>
    <w:rsid w:val="00152E94"/>
    <w:rsid w:val="00163FFA"/>
    <w:rsid w:val="00205640"/>
    <w:rsid w:val="0022653E"/>
    <w:rsid w:val="0026279D"/>
    <w:rsid w:val="002A0A7C"/>
    <w:rsid w:val="002A7C44"/>
    <w:rsid w:val="00304E8C"/>
    <w:rsid w:val="003066A3"/>
    <w:rsid w:val="00345AAB"/>
    <w:rsid w:val="003469FF"/>
    <w:rsid w:val="003D6B52"/>
    <w:rsid w:val="003D6DF2"/>
    <w:rsid w:val="003D7533"/>
    <w:rsid w:val="003F382D"/>
    <w:rsid w:val="00454E23"/>
    <w:rsid w:val="00461B7F"/>
    <w:rsid w:val="004C6D10"/>
    <w:rsid w:val="004D3374"/>
    <w:rsid w:val="004D7382"/>
    <w:rsid w:val="004E068D"/>
    <w:rsid w:val="004E1824"/>
    <w:rsid w:val="005342D9"/>
    <w:rsid w:val="005476A2"/>
    <w:rsid w:val="005E13FF"/>
    <w:rsid w:val="00612F9F"/>
    <w:rsid w:val="006157F5"/>
    <w:rsid w:val="0062251E"/>
    <w:rsid w:val="00641EC9"/>
    <w:rsid w:val="00643947"/>
    <w:rsid w:val="00647691"/>
    <w:rsid w:val="00697E80"/>
    <w:rsid w:val="006B2CCA"/>
    <w:rsid w:val="006D6E48"/>
    <w:rsid w:val="006F6150"/>
    <w:rsid w:val="0070497A"/>
    <w:rsid w:val="00716C48"/>
    <w:rsid w:val="007235C7"/>
    <w:rsid w:val="007305F7"/>
    <w:rsid w:val="00761D76"/>
    <w:rsid w:val="00785E0C"/>
    <w:rsid w:val="0079012A"/>
    <w:rsid w:val="00794D9F"/>
    <w:rsid w:val="00795D95"/>
    <w:rsid w:val="007B1C27"/>
    <w:rsid w:val="007E3F61"/>
    <w:rsid w:val="007F5EAC"/>
    <w:rsid w:val="00826FF4"/>
    <w:rsid w:val="0085148C"/>
    <w:rsid w:val="00864B80"/>
    <w:rsid w:val="008C2659"/>
    <w:rsid w:val="008D7D65"/>
    <w:rsid w:val="009433D4"/>
    <w:rsid w:val="00960111"/>
    <w:rsid w:val="00960243"/>
    <w:rsid w:val="009924B9"/>
    <w:rsid w:val="009931C9"/>
    <w:rsid w:val="009A401E"/>
    <w:rsid w:val="009F320D"/>
    <w:rsid w:val="009F3FC5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B76558"/>
    <w:rsid w:val="00B771D3"/>
    <w:rsid w:val="00BA268F"/>
    <w:rsid w:val="00C26C29"/>
    <w:rsid w:val="00C63BD7"/>
    <w:rsid w:val="00CE77D0"/>
    <w:rsid w:val="00D1130C"/>
    <w:rsid w:val="00D33BD8"/>
    <w:rsid w:val="00D44200"/>
    <w:rsid w:val="00D512C0"/>
    <w:rsid w:val="00D853EC"/>
    <w:rsid w:val="00E14CC4"/>
    <w:rsid w:val="00E25E6B"/>
    <w:rsid w:val="00E35079"/>
    <w:rsid w:val="00E5209F"/>
    <w:rsid w:val="00E728E0"/>
    <w:rsid w:val="00E7315D"/>
    <w:rsid w:val="00EA409C"/>
    <w:rsid w:val="00EC4BAA"/>
    <w:rsid w:val="00ED36B6"/>
    <w:rsid w:val="00EE74EB"/>
    <w:rsid w:val="00F04603"/>
    <w:rsid w:val="00F71FDE"/>
    <w:rsid w:val="00F878D5"/>
    <w:rsid w:val="00FB2FAC"/>
    <w:rsid w:val="00FD41FD"/>
    <w:rsid w:val="00FD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9B3D"/>
  <w15:docId w15:val="{19188524-ACBC-4F06-B694-12C99F58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cgestion-my.sharepoint.com/personal/bquattrini_exponenciar_com_ar/Documents/Escritorio/ANGUS%202023/www.expoagro.com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CB3E8-67BD-450F-86F9-FBB38E84FBE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A1D78220-B80D-4071-BE3F-7F6D7C2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6B64-EBF5-4878-B6E2-DF64691C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2023-08-31T17:57:00Z</dcterms:created>
  <dcterms:modified xsi:type="dcterms:W3CDTF">2023-08-31T18:18:00Z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