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C90D3" w14:textId="77777777" w:rsidR="006550BC" w:rsidRDefault="00923F0F">
      <w:pPr>
        <w:spacing w:line="240" w:lineRule="auto"/>
        <w:jc w:val="center"/>
        <w:rPr>
          <w:b/>
          <w:bCs/>
        </w:rPr>
      </w:pPr>
      <w:r>
        <w:rPr>
          <w:b/>
          <w:bCs/>
        </w:rPr>
        <w:t>"Gastamos la resiliencia de la agricultura argentina": el diagnóstico de dos expertos internacionales sobre el futuro de los suelos</w:t>
      </w:r>
    </w:p>
    <w:p w14:paraId="799CC1D2" w14:textId="77777777" w:rsidR="006550BC" w:rsidRDefault="006550BC">
      <w:pPr>
        <w:spacing w:line="240" w:lineRule="auto"/>
        <w:jc w:val="center"/>
        <w:rPr>
          <w:b/>
          <w:bCs/>
        </w:rPr>
      </w:pPr>
    </w:p>
    <w:p w14:paraId="0DC486F5" w14:textId="77777777" w:rsidR="006550BC" w:rsidRDefault="00923F0F">
      <w:pPr>
        <w:spacing w:line="240" w:lineRule="auto"/>
        <w:jc w:val="center"/>
        <w:rPr>
          <w:i/>
          <w:iCs/>
        </w:rPr>
      </w:pPr>
      <w:r>
        <w:rPr>
          <w:i/>
          <w:iCs/>
        </w:rPr>
        <w:t xml:space="preserve">El brasileño </w:t>
      </w:r>
      <w:proofErr w:type="spellStart"/>
      <w:r>
        <w:rPr>
          <w:i/>
          <w:iCs/>
        </w:rPr>
        <w:t>Leonardus</w:t>
      </w:r>
      <w:proofErr w:type="spellEnd"/>
      <w:r>
        <w:rPr>
          <w:i/>
          <w:iCs/>
        </w:rPr>
        <w:t xml:space="preserve"> </w:t>
      </w:r>
      <w:proofErr w:type="spellStart"/>
      <w:r>
        <w:rPr>
          <w:i/>
          <w:iCs/>
        </w:rPr>
        <w:t>Vergütz</w:t>
      </w:r>
      <w:proofErr w:type="spellEnd"/>
      <w:r>
        <w:rPr>
          <w:i/>
          <w:iCs/>
        </w:rPr>
        <w:t xml:space="preserve"> aseguró que "es posible revertir el daño de los suelos argentinos", pero advirtió que "el ca</w:t>
      </w:r>
      <w:r>
        <w:rPr>
          <w:i/>
          <w:iCs/>
        </w:rPr>
        <w:t>mbio es urgente y necesario". A su vez, la estadounidense Cristine Morgan sostuvo que un buen manejo del suelo es clave para construir sistemas agrícolas más resilientes.</w:t>
      </w:r>
    </w:p>
    <w:p w14:paraId="477A2D9C" w14:textId="77777777" w:rsidR="006550BC" w:rsidRDefault="006550BC">
      <w:pPr>
        <w:jc w:val="both"/>
      </w:pPr>
    </w:p>
    <w:p w14:paraId="3221272F" w14:textId="77777777" w:rsidR="006550BC" w:rsidRDefault="00923F0F">
      <w:pPr>
        <w:spacing w:line="240" w:lineRule="auto"/>
        <w:jc w:val="both"/>
      </w:pPr>
      <w:r>
        <w:t xml:space="preserve">La pérdida de resiliencia de los suelos agrícolas argentinos y las estrategias para recuperarla fueron el eje de dos de los paneles centrales de la segunda jornada de la </w:t>
      </w:r>
      <w:r>
        <w:rPr>
          <w:b/>
          <w:bCs/>
        </w:rPr>
        <w:t xml:space="preserve">XXXIV edición del Congreso </w:t>
      </w:r>
      <w:proofErr w:type="spellStart"/>
      <w:r>
        <w:rPr>
          <w:b/>
          <w:bCs/>
        </w:rPr>
        <w:t>Aapresid</w:t>
      </w:r>
      <w:proofErr w:type="spellEnd"/>
      <w:r>
        <w:rPr>
          <w:b/>
          <w:bCs/>
        </w:rPr>
        <w:t xml:space="preserve"> con la fuerza de Expoag</w:t>
      </w:r>
      <w:r>
        <w:rPr>
          <w:b/>
          <w:bCs/>
        </w:rPr>
        <w:t>ro</w:t>
      </w:r>
      <w:r>
        <w:t xml:space="preserve">. </w:t>
      </w:r>
    </w:p>
    <w:p w14:paraId="3CE9062C" w14:textId="77777777" w:rsidR="006550BC" w:rsidRDefault="006550BC">
      <w:pPr>
        <w:spacing w:line="240" w:lineRule="auto"/>
        <w:jc w:val="both"/>
      </w:pPr>
    </w:p>
    <w:p w14:paraId="529EA67E" w14:textId="77777777" w:rsidR="006550BC" w:rsidRDefault="00923F0F">
      <w:pPr>
        <w:spacing w:line="240" w:lineRule="auto"/>
        <w:jc w:val="both"/>
        <w:rPr>
          <w:color w:val="000000"/>
        </w:rPr>
      </w:pPr>
      <w:r>
        <w:t>Desde el diagnóstico sobre el agotamiento del fósforo hasta las prácticas para mejorar la salud del suelo, especialistas internacionales coincidieron en que todavía es posible revertir el deterioro, pero advirtieron que el cambio debe comenzar ahora.</w:t>
      </w:r>
    </w:p>
    <w:p w14:paraId="2B6607D1" w14:textId="77777777" w:rsidR="006550BC" w:rsidRDefault="00923F0F">
      <w:pPr>
        <w:jc w:val="both"/>
      </w:pPr>
      <w:r>
        <w:t xml:space="preserve"> </w:t>
      </w:r>
    </w:p>
    <w:p w14:paraId="0446A0D1" w14:textId="77777777" w:rsidR="006550BC" w:rsidRDefault="00923F0F">
      <w:pPr>
        <w:jc w:val="both"/>
        <w:rPr>
          <w:b/>
          <w:bCs/>
        </w:rPr>
      </w:pPr>
      <w:proofErr w:type="spellStart"/>
      <w:r>
        <w:rPr>
          <w:b/>
          <w:bCs/>
        </w:rPr>
        <w:t>Leonardus</w:t>
      </w:r>
      <w:proofErr w:type="spellEnd"/>
      <w:r>
        <w:rPr>
          <w:b/>
          <w:bCs/>
        </w:rPr>
        <w:t xml:space="preserve"> </w:t>
      </w:r>
      <w:proofErr w:type="spellStart"/>
      <w:r>
        <w:rPr>
          <w:b/>
          <w:bCs/>
        </w:rPr>
        <w:t>Vergütz</w:t>
      </w:r>
      <w:proofErr w:type="spellEnd"/>
      <w:r>
        <w:rPr>
          <w:b/>
          <w:bCs/>
        </w:rPr>
        <w:t>:</w:t>
      </w:r>
      <w:r>
        <w:rPr>
          <w:b/>
          <w:bCs/>
          <w:i/>
          <w:iCs/>
        </w:rPr>
        <w:t xml:space="preserve"> “Es posible revertir el daño de los suelos argentinos” </w:t>
      </w:r>
    </w:p>
    <w:p w14:paraId="249414C5" w14:textId="77777777" w:rsidR="006550BC" w:rsidRDefault="006550BC">
      <w:pPr>
        <w:jc w:val="both"/>
      </w:pPr>
    </w:p>
    <w:p w14:paraId="5FED8ECC" w14:textId="77777777" w:rsidR="006550BC" w:rsidRDefault="00923F0F">
      <w:pPr>
        <w:jc w:val="both"/>
      </w:pPr>
      <w:r>
        <w:t xml:space="preserve">Con la presencia internacional de </w:t>
      </w:r>
      <w:proofErr w:type="spellStart"/>
      <w:r>
        <w:rPr>
          <w:b/>
          <w:bCs/>
        </w:rPr>
        <w:t>Leonardus</w:t>
      </w:r>
      <w:proofErr w:type="spellEnd"/>
      <w:r>
        <w:rPr>
          <w:b/>
          <w:bCs/>
        </w:rPr>
        <w:t xml:space="preserve"> </w:t>
      </w:r>
      <w:proofErr w:type="spellStart"/>
      <w:r>
        <w:rPr>
          <w:b/>
          <w:bCs/>
        </w:rPr>
        <w:t>Vergütz</w:t>
      </w:r>
      <w:proofErr w:type="spellEnd"/>
      <w:r>
        <w:rPr>
          <w:b/>
          <w:bCs/>
        </w:rPr>
        <w:t xml:space="preserve">, </w:t>
      </w:r>
      <w:proofErr w:type="spellStart"/>
      <w:r>
        <w:rPr>
          <w:b/>
          <w:bCs/>
        </w:rPr>
        <w:t>Chief</w:t>
      </w:r>
      <w:proofErr w:type="spellEnd"/>
      <w:r>
        <w:rPr>
          <w:b/>
          <w:bCs/>
        </w:rPr>
        <w:t xml:space="preserve"> </w:t>
      </w:r>
      <w:proofErr w:type="spellStart"/>
      <w:r>
        <w:rPr>
          <w:b/>
          <w:bCs/>
        </w:rPr>
        <w:t>Scientific</w:t>
      </w:r>
      <w:proofErr w:type="spellEnd"/>
      <w:r>
        <w:rPr>
          <w:b/>
          <w:bCs/>
        </w:rPr>
        <w:t xml:space="preserve"> </w:t>
      </w:r>
      <w:proofErr w:type="spellStart"/>
      <w:r>
        <w:rPr>
          <w:b/>
          <w:bCs/>
        </w:rPr>
        <w:t>Officer</w:t>
      </w:r>
      <w:proofErr w:type="spellEnd"/>
      <w:r>
        <w:rPr>
          <w:b/>
          <w:bCs/>
        </w:rPr>
        <w:t xml:space="preserve"> en OCP </w:t>
      </w:r>
      <w:proofErr w:type="spellStart"/>
      <w:r>
        <w:rPr>
          <w:b/>
          <w:bCs/>
        </w:rPr>
        <w:t>Nutricrops</w:t>
      </w:r>
      <w:proofErr w:type="spellEnd"/>
      <w:r>
        <w:t xml:space="preserve"> se llevó a cabo el panel </w:t>
      </w:r>
      <w:r>
        <w:rPr>
          <w:b/>
          <w:bCs/>
        </w:rPr>
        <w:t>“</w:t>
      </w:r>
      <w:r>
        <w:rPr>
          <w:b/>
          <w:bCs/>
          <w:i/>
          <w:iCs/>
        </w:rPr>
        <w:t>Nos estamos comiendo el fósforo de los suelos argentino</w:t>
      </w:r>
      <w:r>
        <w:rPr>
          <w:b/>
          <w:bCs/>
          <w:i/>
          <w:iCs/>
        </w:rPr>
        <w:t>s. ¿Hacia dónde vamos y cómo lo corregimos?</w:t>
      </w:r>
      <w:r>
        <w:rPr>
          <w:b/>
          <w:bCs/>
        </w:rPr>
        <w:t>”</w:t>
      </w:r>
      <w:r>
        <w:t xml:space="preserve"> en la </w:t>
      </w:r>
      <w:r>
        <w:rPr>
          <w:b/>
          <w:bCs/>
        </w:rPr>
        <w:t>Sala Bayer</w:t>
      </w:r>
      <w:r>
        <w:t xml:space="preserve">. </w:t>
      </w:r>
    </w:p>
    <w:p w14:paraId="378C2205" w14:textId="77777777" w:rsidR="006550BC" w:rsidRDefault="006550BC">
      <w:pPr>
        <w:jc w:val="both"/>
      </w:pPr>
    </w:p>
    <w:p w14:paraId="1601E19A" w14:textId="77777777" w:rsidR="006550BC" w:rsidRDefault="00923F0F">
      <w:pPr>
        <w:jc w:val="both"/>
      </w:pPr>
      <w:r>
        <w:t xml:space="preserve">Moderado por </w:t>
      </w:r>
      <w:r>
        <w:rPr>
          <w:b/>
          <w:bCs/>
        </w:rPr>
        <w:t>Fernando García,</w:t>
      </w:r>
      <w:r>
        <w:t xml:space="preserve"> consultor en fertilidad de suelos y nutrición de cultivos, el encuentro abordó el perfil nutricional de la agricultura local y trazó un horizonte hacia el que de</w:t>
      </w:r>
      <w:r>
        <w:t>be mirar el sector para un futuro más sustentable y con mayor producción.</w:t>
      </w:r>
    </w:p>
    <w:p w14:paraId="613884DE" w14:textId="77777777" w:rsidR="006550BC" w:rsidRDefault="006550BC">
      <w:pPr>
        <w:jc w:val="both"/>
      </w:pPr>
    </w:p>
    <w:p w14:paraId="504E3421" w14:textId="77777777" w:rsidR="006550BC" w:rsidRDefault="00923F0F">
      <w:pPr>
        <w:jc w:val="both"/>
      </w:pPr>
      <w:r>
        <w:rPr>
          <w:b/>
          <w:bCs/>
        </w:rPr>
        <w:t>“</w:t>
      </w:r>
      <w:r>
        <w:rPr>
          <w:i/>
          <w:iCs/>
        </w:rPr>
        <w:t>Argentina tiene suelos óptimos y fértiles, pero</w:t>
      </w:r>
      <w:r>
        <w:rPr>
          <w:b/>
          <w:bCs/>
          <w:i/>
          <w:iCs/>
        </w:rPr>
        <w:t xml:space="preserve"> extrajo durante décadas más fósforo del que repuso</w:t>
      </w:r>
      <w:r>
        <w:rPr>
          <w:i/>
          <w:iCs/>
        </w:rPr>
        <w:t xml:space="preserve"> y eso está disminuyendo la sustentabilidad de la agricultura, su productividad y </w:t>
      </w:r>
      <w:r>
        <w:rPr>
          <w:i/>
          <w:iCs/>
        </w:rPr>
        <w:t>el secuestro de carbono</w:t>
      </w:r>
      <w:r>
        <w:t xml:space="preserve">”, señaló el especialista brasileño, quien coincidió con los datos aportados por Fernando García sobre lo ocurrido en los últimos 30 años. </w:t>
      </w:r>
    </w:p>
    <w:p w14:paraId="6332BD03" w14:textId="77777777" w:rsidR="006550BC" w:rsidRDefault="006550BC">
      <w:pPr>
        <w:jc w:val="both"/>
      </w:pPr>
    </w:p>
    <w:p w14:paraId="2C8A12ED" w14:textId="77777777" w:rsidR="006550BC" w:rsidRDefault="00923F0F">
      <w:pPr>
        <w:jc w:val="both"/>
      </w:pPr>
      <w:r>
        <w:t>“</w:t>
      </w:r>
      <w:r>
        <w:rPr>
          <w:b/>
          <w:bCs/>
          <w:i/>
          <w:iCs/>
        </w:rPr>
        <w:t>Le sacamos al suelo alrededor de 4.5 millones de toneladas de fósforo</w:t>
      </w:r>
      <w:r>
        <w:rPr>
          <w:i/>
          <w:iCs/>
        </w:rPr>
        <w:t>; si bien en los últim</w:t>
      </w:r>
      <w:r>
        <w:rPr>
          <w:i/>
          <w:iCs/>
        </w:rPr>
        <w:t>os años tuvimos reposiciones del 60%, el planteo es cómo podemos revertir ese balance negativo</w:t>
      </w:r>
      <w:r>
        <w:t>”, explicó García.</w:t>
      </w:r>
    </w:p>
    <w:p w14:paraId="548837B8" w14:textId="34F22C30" w:rsidR="006550BC" w:rsidRDefault="006550BC">
      <w:pPr>
        <w:jc w:val="both"/>
      </w:pPr>
    </w:p>
    <w:p w14:paraId="08CE6BE2" w14:textId="77777777" w:rsidR="006550BC" w:rsidRDefault="00923F0F">
      <w:pPr>
        <w:jc w:val="both"/>
      </w:pPr>
      <w:r>
        <w:t>Si bien la falta de fósforo es</w:t>
      </w:r>
      <w:r>
        <w:t xml:space="preserve"> un problema a nivel mundial, el representante de OCP</w:t>
      </w:r>
      <w:r>
        <w:rPr>
          <w:b/>
          <w:bCs/>
        </w:rPr>
        <w:t xml:space="preserve"> </w:t>
      </w:r>
      <w:r>
        <w:t>indicó que “</w:t>
      </w:r>
      <w:r>
        <w:rPr>
          <w:b/>
          <w:bCs/>
          <w:i/>
          <w:iCs/>
        </w:rPr>
        <w:t>Argentina se encuentra entre los países con menores tasas de reposición de fósforo</w:t>
      </w:r>
      <w:r>
        <w:t>” y advirtió que una las consecuencias de la disminución de este nutriente es que también disminuye la mater</w:t>
      </w:r>
      <w:r>
        <w:t>ia orgánica y tiene efectos sobre la estructura del suelo.</w:t>
      </w:r>
    </w:p>
    <w:p w14:paraId="720D6F00" w14:textId="77777777" w:rsidR="006550BC" w:rsidRDefault="006550BC">
      <w:pPr>
        <w:jc w:val="both"/>
      </w:pPr>
    </w:p>
    <w:p w14:paraId="08685228" w14:textId="77777777" w:rsidR="006550BC" w:rsidRDefault="00923F0F">
      <w:pPr>
        <w:jc w:val="both"/>
      </w:pPr>
      <w:r>
        <w:t>“G</w:t>
      </w:r>
      <w:r>
        <w:rPr>
          <w:i/>
          <w:iCs/>
        </w:rPr>
        <w:t>astamos la resiliencia de la agricultura argentina en general, especialmente frente al cambio climático</w:t>
      </w:r>
      <w:r>
        <w:t xml:space="preserve">", expresó. </w:t>
      </w:r>
    </w:p>
    <w:p w14:paraId="25248573" w14:textId="77777777" w:rsidR="006550BC" w:rsidRDefault="006550BC">
      <w:pPr>
        <w:jc w:val="both"/>
      </w:pPr>
    </w:p>
    <w:p w14:paraId="05205A1B" w14:textId="77777777" w:rsidR="006550BC" w:rsidRDefault="00923F0F">
      <w:pPr>
        <w:jc w:val="both"/>
      </w:pPr>
      <w:r>
        <w:t xml:space="preserve">En respuesta a la pregunta que dio título al panel, </w:t>
      </w:r>
      <w:proofErr w:type="spellStart"/>
      <w:r>
        <w:t>Vergütz</w:t>
      </w:r>
      <w:proofErr w:type="spellEnd"/>
      <w:r>
        <w:t xml:space="preserve"> aseguró que “</w:t>
      </w:r>
      <w:r>
        <w:rPr>
          <w:b/>
          <w:bCs/>
          <w:i/>
          <w:iCs/>
        </w:rPr>
        <w:t>es p</w:t>
      </w:r>
      <w:r>
        <w:rPr>
          <w:b/>
          <w:bCs/>
          <w:i/>
          <w:iCs/>
        </w:rPr>
        <w:t xml:space="preserve">osible revertir el daño de los suelos argentinos aportando lo que se les ha quitado </w:t>
      </w:r>
      <w:r>
        <w:rPr>
          <w:i/>
          <w:iCs/>
        </w:rPr>
        <w:t>y recuperar los niveles de resiliencia y materia orgánica</w:t>
      </w:r>
      <w:r>
        <w:t xml:space="preserve">”. Además, remarcó la importancia de tener en cuenta las “4 </w:t>
      </w:r>
      <w:proofErr w:type="spellStart"/>
      <w:r>
        <w:t>Rs</w:t>
      </w:r>
      <w:proofErr w:type="spellEnd"/>
      <w:r>
        <w:t xml:space="preserve"> o requisitos” que permitirán optimizar tanto el rend</w:t>
      </w:r>
      <w:r>
        <w:t xml:space="preserve">imiento como las ganancias: </w:t>
      </w:r>
      <w:r>
        <w:rPr>
          <w:b/>
          <w:bCs/>
        </w:rPr>
        <w:t>ver qué nutriente, en qué dosis, en qué momento y de qué forma aplicarlo.</w:t>
      </w:r>
      <w:r>
        <w:t xml:space="preserve"> </w:t>
      </w:r>
    </w:p>
    <w:p w14:paraId="452D82AB" w14:textId="77777777" w:rsidR="006550BC" w:rsidRDefault="006550BC">
      <w:pPr>
        <w:jc w:val="both"/>
      </w:pPr>
    </w:p>
    <w:p w14:paraId="7DFAB12F" w14:textId="77777777" w:rsidR="006550BC" w:rsidRDefault="00923F0F">
      <w:pPr>
        <w:jc w:val="both"/>
        <w:rPr>
          <w:b/>
          <w:bCs/>
          <w:i/>
          <w:iCs/>
        </w:rPr>
      </w:pPr>
      <w:r>
        <w:rPr>
          <w:i/>
          <w:iCs/>
        </w:rPr>
        <w:lastRenderedPageBreak/>
        <w:t>"Cuando las 4Rs se aplican de manera conjunta, no sólo se puede producir más, sino también ganar más, porque se fortalecen los cultivos y las pasturas, se reducen las pérdidas de nutrientes y se optimiza el uso de los recursos"</w:t>
      </w:r>
      <w:r>
        <w:t>, afirmó.</w:t>
      </w:r>
    </w:p>
    <w:p w14:paraId="156C5AD4" w14:textId="77777777" w:rsidR="006550BC" w:rsidRDefault="00923F0F">
      <w:pPr>
        <w:spacing w:before="240" w:after="240"/>
        <w:jc w:val="both"/>
        <w:rPr>
          <w:b/>
          <w:bCs/>
        </w:rPr>
      </w:pPr>
      <w:r>
        <w:rPr>
          <w:b/>
          <w:bCs/>
        </w:rPr>
        <w:t>Cristine Morgan: “</w:t>
      </w:r>
      <w:r>
        <w:rPr>
          <w:b/>
          <w:bCs/>
          <w:i/>
          <w:iCs/>
        </w:rPr>
        <w:t>El buen manejo del suelo genera resiliencia agrícola</w:t>
      </w:r>
      <w:r>
        <w:rPr>
          <w:b/>
          <w:bCs/>
        </w:rPr>
        <w:t>”</w:t>
      </w:r>
    </w:p>
    <w:p w14:paraId="78E52924" w14:textId="77777777" w:rsidR="006550BC" w:rsidRDefault="00923F0F">
      <w:pPr>
        <w:spacing w:before="240" w:after="240"/>
        <w:jc w:val="both"/>
      </w:pPr>
      <w:r>
        <w:t xml:space="preserve">Por su parte, en el auditorio </w:t>
      </w:r>
      <w:proofErr w:type="spellStart"/>
      <w:r>
        <w:rPr>
          <w:b/>
          <w:bCs/>
        </w:rPr>
        <w:t>Aapresid</w:t>
      </w:r>
      <w:proofErr w:type="spellEnd"/>
      <w:r>
        <w:t xml:space="preserve"> se presentó la </w:t>
      </w:r>
      <w:r>
        <w:rPr>
          <w:b/>
          <w:bCs/>
        </w:rPr>
        <w:t>doctora Cristine Morgan</w:t>
      </w:r>
      <w:r>
        <w:rPr>
          <w:color w:val="000000"/>
        </w:rPr>
        <w:t xml:space="preserve">, directora </w:t>
      </w:r>
      <w:r>
        <w:t>c</w:t>
      </w:r>
      <w:r>
        <w:rPr>
          <w:color w:val="000000"/>
        </w:rPr>
        <w:t>ientífica del Instituto de Salud del Suelo (</w:t>
      </w:r>
      <w:proofErr w:type="spellStart"/>
      <w:r>
        <w:rPr>
          <w:color w:val="000000"/>
        </w:rPr>
        <w:t>Soil</w:t>
      </w:r>
      <w:proofErr w:type="spellEnd"/>
      <w:r>
        <w:rPr>
          <w:color w:val="000000"/>
        </w:rPr>
        <w:t xml:space="preserve"> </w:t>
      </w:r>
      <w:proofErr w:type="spellStart"/>
      <w:r>
        <w:rPr>
          <w:color w:val="000000"/>
        </w:rPr>
        <w:t>Health</w:t>
      </w:r>
      <w:proofErr w:type="spellEnd"/>
      <w:r>
        <w:rPr>
          <w:color w:val="000000"/>
        </w:rPr>
        <w:t xml:space="preserve"> </w:t>
      </w:r>
      <w:proofErr w:type="spellStart"/>
      <w:r>
        <w:rPr>
          <w:color w:val="000000"/>
        </w:rPr>
        <w:t>Institute</w:t>
      </w:r>
      <w:proofErr w:type="spellEnd"/>
      <w:r>
        <w:rPr>
          <w:color w:val="000000"/>
        </w:rPr>
        <w:t xml:space="preserve">), para </w:t>
      </w:r>
      <w:r>
        <w:t xml:space="preserve">disertar sobre </w:t>
      </w:r>
      <w:r>
        <w:rPr>
          <w:b/>
          <w:bCs/>
        </w:rPr>
        <w:t>“</w:t>
      </w:r>
      <w:r>
        <w:rPr>
          <w:b/>
          <w:bCs/>
          <w:i/>
          <w:iCs/>
        </w:rPr>
        <w:t>Medic</w:t>
      </w:r>
      <w:r>
        <w:rPr>
          <w:b/>
          <w:bCs/>
          <w:i/>
          <w:iCs/>
        </w:rPr>
        <w:t>ión y análisis de la salud del suelo: estrategias con potencial de expansión</w:t>
      </w:r>
      <w:r>
        <w:rPr>
          <w:b/>
          <w:bCs/>
        </w:rPr>
        <w:t>”</w:t>
      </w:r>
      <w:r>
        <w:t xml:space="preserve">. Ante una sala colmada de asistentes, y con la moderación del ingeniero agrónomo </w:t>
      </w:r>
      <w:r>
        <w:rPr>
          <w:color w:val="000000"/>
        </w:rPr>
        <w:t xml:space="preserve">Manuel Pereyra </w:t>
      </w:r>
      <w:r>
        <w:t>Iraola</w:t>
      </w:r>
      <w:r>
        <w:rPr>
          <w:color w:val="000000"/>
        </w:rPr>
        <w:t xml:space="preserve">, </w:t>
      </w:r>
      <w:r>
        <w:t xml:space="preserve">la especialista aseguró </w:t>
      </w:r>
      <w:r>
        <w:rPr>
          <w:color w:val="000000"/>
        </w:rPr>
        <w:t xml:space="preserve">que </w:t>
      </w:r>
      <w:r>
        <w:t>“</w:t>
      </w:r>
      <w:r>
        <w:rPr>
          <w:i/>
          <w:iCs/>
        </w:rPr>
        <w:t>el buen manejo del suelo genera resiliencia a</w:t>
      </w:r>
      <w:r>
        <w:rPr>
          <w:i/>
          <w:iCs/>
        </w:rPr>
        <w:t>grícola</w:t>
      </w:r>
      <w:r>
        <w:t xml:space="preserve">”. </w:t>
      </w:r>
    </w:p>
    <w:p w14:paraId="0A6837C7" w14:textId="77777777" w:rsidR="006550BC" w:rsidRDefault="00923F0F">
      <w:pPr>
        <w:spacing w:before="240" w:after="240"/>
        <w:jc w:val="both"/>
        <w:rPr>
          <w:color w:val="000000"/>
        </w:rPr>
      </w:pPr>
      <w:r>
        <w:t>Al respecto, Morgan</w:t>
      </w:r>
      <w:r>
        <w:rPr>
          <w:color w:val="000000"/>
        </w:rPr>
        <w:t xml:space="preserve"> definió a la salud del suelo como su “</w:t>
      </w:r>
      <w:r>
        <w:rPr>
          <w:i/>
          <w:iCs/>
          <w:color w:val="000000"/>
        </w:rPr>
        <w:t>buen funcionamiento para cumplir un propósito</w:t>
      </w:r>
      <w:r>
        <w:rPr>
          <w:color w:val="000000"/>
        </w:rPr>
        <w:t xml:space="preserve">”, y </w:t>
      </w:r>
      <w:r>
        <w:t xml:space="preserve">entre </w:t>
      </w:r>
      <w:r>
        <w:rPr>
          <w:color w:val="000000"/>
        </w:rPr>
        <w:t xml:space="preserve">las prácticas para mejorarla, </w:t>
      </w:r>
      <w:r>
        <w:t xml:space="preserve">destacó </w:t>
      </w:r>
      <w:r>
        <w:rPr>
          <w:b/>
          <w:bCs/>
        </w:rPr>
        <w:t xml:space="preserve">evitar </w:t>
      </w:r>
      <w:r>
        <w:rPr>
          <w:b/>
          <w:bCs/>
          <w:color w:val="000000"/>
        </w:rPr>
        <w:t xml:space="preserve">la perturbación física, mantener raíces vivas </w:t>
      </w:r>
      <w:r>
        <w:rPr>
          <w:b/>
          <w:bCs/>
          <w:i/>
          <w:iCs/>
        </w:rPr>
        <w:t>“</w:t>
      </w:r>
      <w:r>
        <w:rPr>
          <w:b/>
          <w:bCs/>
          <w:i/>
          <w:iCs/>
          <w:color w:val="000000"/>
        </w:rPr>
        <w:t>tantos días como sea posible</w:t>
      </w:r>
      <w:r>
        <w:rPr>
          <w:b/>
          <w:bCs/>
          <w:i/>
          <w:iCs/>
        </w:rPr>
        <w:t>”</w:t>
      </w:r>
      <w:r>
        <w:rPr>
          <w:b/>
          <w:bCs/>
          <w:color w:val="000000"/>
        </w:rPr>
        <w:t>, cubrir y</w:t>
      </w:r>
      <w:r>
        <w:rPr>
          <w:b/>
          <w:bCs/>
          <w:color w:val="000000"/>
        </w:rPr>
        <w:t xml:space="preserve"> proteger la superficie del suelo, agregar diversidad cuando sea posible e integrar el pastoreo</w:t>
      </w:r>
      <w:r>
        <w:rPr>
          <w:color w:val="000000"/>
        </w:rPr>
        <w:t xml:space="preserve">. </w:t>
      </w:r>
    </w:p>
    <w:p w14:paraId="6E55DC69" w14:textId="77777777" w:rsidR="006550BC" w:rsidRDefault="00923F0F">
      <w:pPr>
        <w:spacing w:before="240" w:after="240"/>
        <w:jc w:val="both"/>
      </w:pPr>
      <w:r>
        <w:t xml:space="preserve">A su vez, la experta estadounidense enfatizó en </w:t>
      </w:r>
      <w:r>
        <w:t>la importancia de medir los resultados de las prácticas de manejo y comunicar esa información no solo a los productores, sino también a la cadena de suministro, a los responsables de las políticas públicas y a quienes invierten en mejorar la salud del suel</w:t>
      </w:r>
      <w:r>
        <w:t>o.</w:t>
      </w:r>
    </w:p>
    <w:p w14:paraId="6EF58CEC" w14:textId="77777777" w:rsidR="006550BC" w:rsidRDefault="00923F0F">
      <w:pPr>
        <w:spacing w:before="240" w:after="240"/>
        <w:jc w:val="both"/>
      </w:pPr>
      <w:r>
        <w:t>Entre los principales indicadores a evaluar mencionó la concentración de carbono orgánico, la capacidad de retención de agua, el potencial de mineralización del carbono y la estabilidad de los agregados.</w:t>
      </w:r>
    </w:p>
    <w:p w14:paraId="00BDEBB8" w14:textId="4EABEEBA" w:rsidR="006550BC" w:rsidRPr="00B61F2B" w:rsidRDefault="00923F0F">
      <w:pPr>
        <w:spacing w:before="240" w:after="240"/>
        <w:jc w:val="both"/>
        <w:rPr>
          <w:color w:val="000000"/>
        </w:rPr>
      </w:pPr>
      <w:r>
        <w:t>“</w:t>
      </w:r>
      <w:r>
        <w:rPr>
          <w:i/>
          <w:iCs/>
        </w:rPr>
        <w:t>T</w:t>
      </w:r>
      <w:r>
        <w:rPr>
          <w:i/>
          <w:iCs/>
          <w:color w:val="000000"/>
        </w:rPr>
        <w:t>odos los suelos pueden ser sanos pero su expres</w:t>
      </w:r>
      <w:r>
        <w:rPr>
          <w:i/>
          <w:iCs/>
          <w:color w:val="000000"/>
        </w:rPr>
        <w:t>ión puede ser diferente cuando estás en un suelo arenoso, poco profundo y rocoso</w:t>
      </w:r>
      <w:r>
        <w:rPr>
          <w:color w:val="000000"/>
        </w:rPr>
        <w:t>”, agregó Mor</w:t>
      </w:r>
      <w:r>
        <w:t>gan, quien</w:t>
      </w:r>
      <w:r>
        <w:rPr>
          <w:color w:val="000000"/>
        </w:rPr>
        <w:t xml:space="preserve"> </w:t>
      </w:r>
      <w:r>
        <w:t xml:space="preserve">también se detuvo en </w:t>
      </w:r>
      <w:r>
        <w:rPr>
          <w:color w:val="000000"/>
        </w:rPr>
        <w:t>el impacto que tienen las distintas maneras de interpretar la medición: “</w:t>
      </w:r>
      <w:r>
        <w:rPr>
          <w:b/>
          <w:bCs/>
          <w:i/>
          <w:iCs/>
          <w:color w:val="000000"/>
        </w:rPr>
        <w:t>Tenemos que ser localmente relevantes, pero continentalmen</w:t>
      </w:r>
      <w:r>
        <w:rPr>
          <w:b/>
          <w:bCs/>
          <w:i/>
          <w:iCs/>
          <w:color w:val="000000"/>
        </w:rPr>
        <w:t>te escalables</w:t>
      </w:r>
      <w:r>
        <w:rPr>
          <w:i/>
          <w:iCs/>
          <w:color w:val="000000"/>
        </w:rPr>
        <w:t>, y debemos poder respaldarlo con estadísticas para luego poder comunicarlo</w:t>
      </w:r>
      <w:r>
        <w:rPr>
          <w:color w:val="000000"/>
        </w:rPr>
        <w:t>".</w:t>
      </w:r>
    </w:p>
    <w:p w14:paraId="1108ACE4" w14:textId="77777777" w:rsidR="006550BC" w:rsidRDefault="00923F0F">
      <w:pPr>
        <w:spacing w:before="240" w:after="240"/>
        <w:jc w:val="both"/>
      </w:pPr>
      <w:r>
        <w:t xml:space="preserve">Por último, indicó que las propiedades inherentes del suelo influyen en cómo se expresa su salud y compartió dos ejemplos: </w:t>
      </w:r>
      <w:r>
        <w:rPr>
          <w:i/>
          <w:iCs/>
        </w:rPr>
        <w:t>“Para el carbono orgánico, la capacidad de captura se relaciona fuertemente con la concentración de arcilla, mientras que para el pot</w:t>
      </w:r>
      <w:r>
        <w:rPr>
          <w:i/>
          <w:iCs/>
        </w:rPr>
        <w:t>encial de mineralización del carbono, el pH es la variable más importante”</w:t>
      </w:r>
      <w:r>
        <w:t>.</w:t>
      </w:r>
    </w:p>
    <w:p w14:paraId="14DD5F67" w14:textId="77777777" w:rsidR="006550BC" w:rsidRDefault="00923F0F">
      <w:pPr>
        <w:spacing w:before="240" w:after="240"/>
        <w:jc w:val="both"/>
      </w:pPr>
      <w:r>
        <w:t xml:space="preserve">Más allá de esas diferencias entre ambientes, Morgan insistió en que el objetivo es el mismo: construir sistemas capaces de amortiguar mejor los efectos del clima. </w:t>
      </w:r>
      <w:r>
        <w:rPr>
          <w:i/>
          <w:iCs/>
        </w:rPr>
        <w:t>“Cuando pienso e</w:t>
      </w:r>
      <w:r>
        <w:rPr>
          <w:i/>
          <w:iCs/>
        </w:rPr>
        <w:t>n un suelo sano, pienso en resiliencia, porque nos proporciona un amortiguador frente al clima”</w:t>
      </w:r>
      <w:r>
        <w:t>, concluyó.</w:t>
      </w:r>
    </w:p>
    <w:p w14:paraId="0BA1B6B8" w14:textId="77777777" w:rsidR="006550BC" w:rsidRDefault="006550BC">
      <w:pPr>
        <w:spacing w:before="240" w:after="240"/>
        <w:jc w:val="both"/>
      </w:pPr>
    </w:p>
    <w:p w14:paraId="761BB68E" w14:textId="77777777" w:rsidR="006550BC" w:rsidRDefault="006550BC">
      <w:pPr>
        <w:spacing w:before="240" w:after="240"/>
        <w:jc w:val="both"/>
        <w:rPr>
          <w:rFonts w:ascii="Aptos" w:eastAsia="Aptos" w:hAnsi="Aptos" w:cs="Aptos"/>
        </w:rPr>
      </w:pPr>
    </w:p>
    <w:sectPr w:rsidR="006550BC">
      <w:headerReference w:type="default" r:id="rId7"/>
      <w:footerReference w:type="default" r:id="rId8"/>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62E9F" w14:textId="77777777" w:rsidR="00923F0F" w:rsidRDefault="00923F0F">
      <w:pPr>
        <w:spacing w:line="240" w:lineRule="auto"/>
      </w:pPr>
      <w:r>
        <w:separator/>
      </w:r>
    </w:p>
  </w:endnote>
  <w:endnote w:type="continuationSeparator" w:id="0">
    <w:p w14:paraId="5BB86EC7" w14:textId="77777777" w:rsidR="00923F0F" w:rsidRDefault="00923F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BBA61257-86E6-4968-951E-A4C97BE94094}"/>
  </w:font>
  <w:font w:name="Cambria">
    <w:panose1 w:val="02040503050406030204"/>
    <w:charset w:val="00"/>
    <w:family w:val="roman"/>
    <w:pitch w:val="variable"/>
    <w:sig w:usb0="E00006FF" w:usb1="420024FF" w:usb2="02000000" w:usb3="00000000" w:csb0="0000019F" w:csb1="00000000"/>
    <w:embedRegular r:id="rId2" w:fontKey="{EBCFA705-CA64-45B8-9288-7E499365EBE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0818A" w14:textId="77777777" w:rsidR="006550BC" w:rsidRDefault="006550B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D6C79" w14:textId="77777777" w:rsidR="00923F0F" w:rsidRDefault="00923F0F">
      <w:pPr>
        <w:spacing w:line="240" w:lineRule="auto"/>
      </w:pPr>
      <w:r>
        <w:separator/>
      </w:r>
    </w:p>
  </w:footnote>
  <w:footnote w:type="continuationSeparator" w:id="0">
    <w:p w14:paraId="246A4E49" w14:textId="77777777" w:rsidR="00923F0F" w:rsidRDefault="00923F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26B64" w14:textId="77777777" w:rsidR="006550BC" w:rsidRDefault="00923F0F">
    <w:r>
      <w:rPr>
        <w:noProof/>
      </w:rPr>
      <w:drawing>
        <wp:anchor distT="0" distB="0" distL="0" distR="0" simplePos="0" relativeHeight="251658240" behindDoc="1" locked="0" layoutInCell="1" hidden="0" allowOverlap="1" wp14:anchorId="3FB13C07" wp14:editId="0D58C14C">
          <wp:simplePos x="0" y="0"/>
          <wp:positionH relativeFrom="page">
            <wp:posOffset>-9519</wp:posOffset>
          </wp:positionH>
          <wp:positionV relativeFrom="page">
            <wp:posOffset>-47618</wp:posOffset>
          </wp:positionV>
          <wp:extent cx="7606030" cy="9150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06030" cy="91503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0BC"/>
    <w:rsid w:val="006550BC"/>
    <w:rsid w:val="00923F0F"/>
    <w:rsid w:val="00B61F2B"/>
  </w:rsids>
  <m:mathPr>
    <m:mathFont m:val="Cambria Math"/>
    <m:brkBin m:val="before"/>
    <m:brkBinSub m:val="--"/>
    <m:smallFrac m:val="0"/>
    <m:dispDef/>
    <m:lMargin m:val="0"/>
    <m:rMargin m:val="0"/>
    <m:defJc m:val="centerGroup"/>
    <m:wrapIndent m:val="1440"/>
    <m:intLim m:val="subSup"/>
    <m:naryLim m:val="undOvr"/>
  </m:mathPr>
  <w:themeFontLang w:val="en-001"/>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54611"/>
  <w15:docId w15:val="{A4A997E2-4EA9-45CB-87C3-37A72885A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n-001"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6y2Wzx2rMjbdHTWzdEbBag2dTg==">CgMxLjA4AHIhMWVDYWlYMzJvU1IzMmJ5WWFMUFhGU2duSGM4TVVYdXVt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833</Words>
  <Characters>4751</Characters>
  <Application>Microsoft Office Word</Application>
  <DocSecurity>0</DocSecurity>
  <Lines>39</Lines>
  <Paragraphs>11</Paragraphs>
  <ScaleCrop>false</ScaleCrop>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Antonella  Schiantarelli</cp:lastModifiedBy>
  <cp:revision>2</cp:revision>
  <dcterms:created xsi:type="dcterms:W3CDTF">2026-08-05T21:31:00Z</dcterms:created>
  <dcterms:modified xsi:type="dcterms:W3CDTF">2026-08-05T21:39:00Z</dcterms:modified>
</cp:coreProperties>
</file>