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D5B4" w14:textId="77777777" w:rsidR="00811EDD" w:rsidRDefault="00811EDD" w:rsidP="00811ED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Presencia destacada: Argentina expone su tecnología estrella en Agritechnica</w:t>
      </w:r>
    </w:p>
    <w:p w14:paraId="76DB52DF" w14:textId="76892490" w:rsidR="00811EDD" w:rsidRDefault="00811EDD" w:rsidP="00811EDD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Este martes se inauguró el Pabellón Argentino con una presencia récord de  empresas nacionales de maquinaria, agropartes, software e instituciones. </w:t>
      </w:r>
    </w:p>
    <w:p w14:paraId="57073836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Agritechnica es el escenario preferencial para mostrar la tradición e innovación de la maquinaria agrícola argentina para el mercado internacional. Como socio estratégico de Agritechnica, Expoagro, junto a la Agencia Argentina de Inversiones y Comercio Internacional (AAICI), promueven la participación de empresarios y representantes de diversas instituciones en la feria líder de maquinaria agrícola que de desarrolla hasta el 18 de noviembre en Hannover, Alemania. </w:t>
      </w:r>
    </w:p>
    <w:p w14:paraId="35B1E49F" w14:textId="2C8F936E" w:rsidR="00796DBA" w:rsidRPr="00796DBA" w:rsidRDefault="00811EDD" w:rsidP="00796DBA">
      <w:pPr>
        <w:jc w:val="both"/>
        <w:rPr>
          <w:rFonts w:cstheme="minorHAnsi"/>
          <w:sz w:val="24"/>
          <w:szCs w:val="24"/>
        </w:rPr>
      </w:pPr>
      <w:r w:rsidRPr="00796DBA">
        <w:rPr>
          <w:rFonts w:cstheme="minorHAnsi"/>
          <w:sz w:val="24"/>
          <w:szCs w:val="24"/>
        </w:rPr>
        <w:t xml:space="preserve">La inauguración contó con la presencia de </w:t>
      </w:r>
      <w:r w:rsidR="00796DBA" w:rsidRPr="00796DBA">
        <w:rPr>
          <w:rFonts w:cstheme="minorHAnsi"/>
          <w:sz w:val="24"/>
          <w:szCs w:val="24"/>
        </w:rPr>
        <w:t>Fernando Brun, Embajador de Argentina en Alemania; Delfo Buchaillot</w:t>
      </w:r>
      <w:r w:rsidR="00796DBA">
        <w:rPr>
          <w:rFonts w:cstheme="minorHAnsi"/>
          <w:sz w:val="24"/>
          <w:szCs w:val="24"/>
        </w:rPr>
        <w:t xml:space="preserve">, </w:t>
      </w:r>
      <w:r w:rsidR="00796DBA" w:rsidRPr="00796DBA">
        <w:rPr>
          <w:rFonts w:cstheme="minorHAnsi"/>
          <w:sz w:val="24"/>
          <w:szCs w:val="24"/>
        </w:rPr>
        <w:t>Sub</w:t>
      </w:r>
      <w:r w:rsidR="00796DBA">
        <w:rPr>
          <w:rFonts w:cstheme="minorHAnsi"/>
          <w:sz w:val="24"/>
          <w:szCs w:val="24"/>
        </w:rPr>
        <w:t>s</w:t>
      </w:r>
      <w:r w:rsidR="00796DBA" w:rsidRPr="00796DBA">
        <w:rPr>
          <w:rFonts w:cstheme="minorHAnsi"/>
          <w:sz w:val="24"/>
          <w:szCs w:val="24"/>
        </w:rPr>
        <w:t xml:space="preserve">ecretario </w:t>
      </w:r>
      <w:r w:rsidR="00796DBA">
        <w:rPr>
          <w:rFonts w:cstheme="minorHAnsi"/>
          <w:sz w:val="24"/>
          <w:szCs w:val="24"/>
        </w:rPr>
        <w:t xml:space="preserve">de </w:t>
      </w:r>
      <w:r w:rsidR="00796DBA" w:rsidRPr="00796DBA">
        <w:rPr>
          <w:rFonts w:cstheme="minorHAnsi"/>
          <w:sz w:val="24"/>
          <w:szCs w:val="24"/>
        </w:rPr>
        <w:t>Agricultura</w:t>
      </w:r>
      <w:r w:rsidR="00796DBA">
        <w:rPr>
          <w:rFonts w:cstheme="minorHAnsi"/>
          <w:sz w:val="24"/>
          <w:szCs w:val="24"/>
        </w:rPr>
        <w:t xml:space="preserve"> de la Secretaría de Agricultura, Ganadería y Pesca de la Nación; </w:t>
      </w:r>
      <w:r w:rsidR="00796DBA" w:rsidRPr="00796DBA">
        <w:rPr>
          <w:rFonts w:cstheme="minorHAnsi"/>
          <w:sz w:val="24"/>
          <w:szCs w:val="24"/>
        </w:rPr>
        <w:t>Maite Fernandez Garcia</w:t>
      </w:r>
      <w:r w:rsidR="00796DBA">
        <w:rPr>
          <w:rFonts w:cstheme="minorHAnsi"/>
          <w:sz w:val="24"/>
          <w:szCs w:val="24"/>
        </w:rPr>
        <w:t xml:space="preserve">, </w:t>
      </w:r>
      <w:r w:rsidR="00796DBA" w:rsidRPr="00796DBA">
        <w:rPr>
          <w:rFonts w:cstheme="minorHAnsi"/>
          <w:sz w:val="24"/>
          <w:szCs w:val="24"/>
        </w:rPr>
        <w:t>Cónsul General en Hamburgo</w:t>
      </w:r>
      <w:r w:rsidR="00796DBA">
        <w:rPr>
          <w:rFonts w:cstheme="minorHAnsi"/>
          <w:sz w:val="24"/>
          <w:szCs w:val="24"/>
        </w:rPr>
        <w:t xml:space="preserve">; </w:t>
      </w:r>
      <w:r w:rsidR="00796DBA" w:rsidRPr="00796DBA">
        <w:rPr>
          <w:rFonts w:cstheme="minorHAnsi"/>
          <w:sz w:val="24"/>
          <w:szCs w:val="24"/>
        </w:rPr>
        <w:t>Carlos Braga de la Comisión de Comercio Exterior de CAFMA</w:t>
      </w:r>
      <w:r w:rsidR="00796DBA">
        <w:rPr>
          <w:rFonts w:cstheme="minorHAnsi"/>
          <w:sz w:val="24"/>
          <w:szCs w:val="24"/>
        </w:rPr>
        <w:t xml:space="preserve">; </w:t>
      </w:r>
      <w:r w:rsidR="00137628">
        <w:rPr>
          <w:rFonts w:cstheme="minorHAnsi"/>
          <w:sz w:val="24"/>
          <w:szCs w:val="24"/>
        </w:rPr>
        <w:t xml:space="preserve">Andrés Superbi de la Agencia Argentina de Inversiones y Comercio Internacional; </w:t>
      </w:r>
      <w:r w:rsidR="00137628" w:rsidRPr="00137628">
        <w:rPr>
          <w:rFonts w:cstheme="minorHAnsi"/>
          <w:sz w:val="24"/>
          <w:szCs w:val="24"/>
        </w:rPr>
        <w:t>Laura Tuero</w:t>
      </w:r>
      <w:r w:rsidR="00357C47">
        <w:rPr>
          <w:rFonts w:cstheme="minorHAnsi"/>
          <w:sz w:val="24"/>
          <w:szCs w:val="24"/>
        </w:rPr>
        <w:t xml:space="preserve">, </w:t>
      </w:r>
      <w:r w:rsidR="00137628" w:rsidRPr="00137628">
        <w:rPr>
          <w:rFonts w:cstheme="minorHAnsi"/>
          <w:sz w:val="24"/>
          <w:szCs w:val="24"/>
        </w:rPr>
        <w:t>Directora Nacional de Promoción de Exportaciones - Ministerio de Relaciones Exteriores, Comercio Internacional y Culto</w:t>
      </w:r>
      <w:r w:rsidR="00137628">
        <w:rPr>
          <w:rFonts w:cstheme="minorHAnsi"/>
          <w:sz w:val="24"/>
          <w:szCs w:val="24"/>
        </w:rPr>
        <w:t xml:space="preserve">; </w:t>
      </w:r>
      <w:r w:rsidR="00796DBA" w:rsidRPr="00796DBA">
        <w:rPr>
          <w:rFonts w:cstheme="minorHAnsi"/>
          <w:sz w:val="24"/>
          <w:szCs w:val="24"/>
        </w:rPr>
        <w:t>Miembros de la DLG</w:t>
      </w:r>
      <w:r w:rsidR="00796DBA">
        <w:rPr>
          <w:rFonts w:cstheme="minorHAnsi"/>
          <w:sz w:val="24"/>
          <w:szCs w:val="24"/>
        </w:rPr>
        <w:t xml:space="preserve">; </w:t>
      </w:r>
      <w:r w:rsidR="00796DBA" w:rsidRPr="00796DBA">
        <w:rPr>
          <w:rFonts w:cstheme="minorHAnsi"/>
          <w:sz w:val="24"/>
          <w:szCs w:val="24"/>
        </w:rPr>
        <w:t>Miembros de E</w:t>
      </w:r>
      <w:r w:rsidR="00796DBA">
        <w:rPr>
          <w:rFonts w:cstheme="minorHAnsi"/>
          <w:sz w:val="24"/>
          <w:szCs w:val="24"/>
        </w:rPr>
        <w:t xml:space="preserve">IMA; </w:t>
      </w:r>
      <w:r w:rsidR="00796DBA" w:rsidRPr="00796DBA">
        <w:rPr>
          <w:rFonts w:cstheme="minorHAnsi"/>
          <w:sz w:val="24"/>
          <w:szCs w:val="24"/>
        </w:rPr>
        <w:t xml:space="preserve">Alberto Marina y Eugenio Schlossberg por Exponenciar; </w:t>
      </w:r>
      <w:r w:rsidR="00796DBA">
        <w:rPr>
          <w:rFonts w:cstheme="minorHAnsi"/>
          <w:sz w:val="24"/>
          <w:szCs w:val="24"/>
        </w:rPr>
        <w:t xml:space="preserve">empresas e instituciones, y </w:t>
      </w:r>
      <w:r w:rsidR="00796DBA" w:rsidRPr="00796DBA">
        <w:rPr>
          <w:rFonts w:cstheme="minorHAnsi"/>
          <w:sz w:val="24"/>
          <w:szCs w:val="24"/>
        </w:rPr>
        <w:t>periodistas agropecuarios, entre otros.</w:t>
      </w:r>
    </w:p>
    <w:p w14:paraId="7ED35B8D" w14:textId="77777777" w:rsidR="00811EDD" w:rsidRDefault="00811EDD" w:rsidP="00811ED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Made in argentina</w:t>
      </w:r>
    </w:p>
    <w:p w14:paraId="0D6C2FAE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Empresas de Santa Fe, Córdoba, Buenos Aires y CABA afines a los rubros de maquinaria, agropartes y software viajaron para mostrar y ofrecer al mundo lo mejor de su tecnología. </w:t>
      </w:r>
    </w:p>
    <w:p w14:paraId="0A6DD8A4" w14:textId="657C8F0F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el Pabellón Argentino, un espacio de </w:t>
      </w:r>
      <w:r w:rsidRPr="00796DBA">
        <w:rPr>
          <w:rFonts w:cstheme="minorHAnsi"/>
          <w:sz w:val="24"/>
          <w:szCs w:val="24"/>
        </w:rPr>
        <w:t>3</w:t>
      </w:r>
      <w:r w:rsidR="00796DBA" w:rsidRPr="00796DBA">
        <w:rPr>
          <w:rFonts w:cstheme="minorHAnsi"/>
          <w:sz w:val="24"/>
          <w:szCs w:val="24"/>
        </w:rPr>
        <w:t>50</w:t>
      </w:r>
      <w:r w:rsidRPr="00796DBA">
        <w:rPr>
          <w:rFonts w:cstheme="minorHAnsi"/>
          <w:sz w:val="24"/>
          <w:szCs w:val="24"/>
        </w:rPr>
        <w:t xml:space="preserve"> m2,</w:t>
      </w:r>
      <w:r>
        <w:rPr>
          <w:rFonts w:cstheme="minorHAnsi"/>
          <w:sz w:val="24"/>
          <w:szCs w:val="24"/>
        </w:rPr>
        <w:t xml:space="preserve"> participan con estaciones de trabajo Agrobit, Agropartes Blade, Apache, Auravant, BK Components, Buco, Cestari, Crucianelli, Exponenciar, Franco Fabril, JURI Sembradoras, Mainero, OMBU, Plastar, Piersanti, Richiger, Rossmet, Sohipren, Superwalter, Vesta Scales y Argentech Group (Grupo exportador de maquinaria agrícola cordobés, integrado por: Abelardo Cuffia, Ascanelli, Bti Agri, Ingersoll, Mainero, Metalfor, Pauny, Sohipren y Tbeh). </w:t>
      </w:r>
      <w:r w:rsidR="00D953B3">
        <w:rPr>
          <w:rFonts w:cstheme="minorHAnsi"/>
          <w:sz w:val="24"/>
          <w:szCs w:val="24"/>
        </w:rPr>
        <w:t xml:space="preserve">Franco Fabril y Rossmet se encuentran fuera del Pabellón. </w:t>
      </w:r>
    </w:p>
    <w:p w14:paraId="331CC86C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cuanto a instituciones, también están presentes AAPRESID, CAFMA, INTA y la </w:t>
      </w:r>
      <w:proofErr w:type="gramStart"/>
      <w:r>
        <w:rPr>
          <w:rFonts w:cstheme="minorHAnsi"/>
          <w:sz w:val="24"/>
          <w:szCs w:val="24"/>
        </w:rPr>
        <w:t>Secretaria</w:t>
      </w:r>
      <w:proofErr w:type="gramEnd"/>
      <w:r>
        <w:rPr>
          <w:rFonts w:cstheme="minorHAnsi"/>
          <w:sz w:val="24"/>
          <w:szCs w:val="24"/>
        </w:rPr>
        <w:t xml:space="preserve"> de Agricultura y Pesca de la Nación.</w:t>
      </w:r>
    </w:p>
    <w:p w14:paraId="72419D97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Cabe destacar que hay cinco empresas exhibiendo maquinaria: </w:t>
      </w:r>
      <w:r>
        <w:rPr>
          <w:rFonts w:cstheme="minorHAnsi"/>
          <w:b/>
          <w:bCs/>
          <w:sz w:val="24"/>
          <w:szCs w:val="24"/>
        </w:rPr>
        <w:t xml:space="preserve">Cestari, </w:t>
      </w:r>
      <w:r>
        <w:rPr>
          <w:rFonts w:cstheme="minorHAnsi"/>
          <w:sz w:val="24"/>
          <w:szCs w:val="24"/>
        </w:rPr>
        <w:t>con la Tolva S6 de 24000 litros de capacidad sobre un eje con sistema de frenos incorporado;</w:t>
      </w:r>
      <w:r>
        <w:rPr>
          <w:rFonts w:cstheme="minorHAnsi"/>
          <w:b/>
          <w:bCs/>
          <w:sz w:val="24"/>
          <w:szCs w:val="24"/>
        </w:rPr>
        <w:t xml:space="preserve"> Crucianelli </w:t>
      </w:r>
      <w:r>
        <w:rPr>
          <w:rFonts w:cstheme="minorHAnsi"/>
          <w:sz w:val="24"/>
          <w:szCs w:val="24"/>
        </w:rPr>
        <w:t xml:space="preserve">con la Sembradora </w:t>
      </w:r>
      <w:proofErr w:type="spellStart"/>
      <w:r>
        <w:rPr>
          <w:rFonts w:cstheme="minorHAnsi"/>
          <w:sz w:val="24"/>
          <w:szCs w:val="24"/>
        </w:rPr>
        <w:t>Plantor</w:t>
      </w:r>
      <w:proofErr w:type="spellEnd"/>
      <w:r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b/>
          <w:bCs/>
          <w:sz w:val="24"/>
          <w:szCs w:val="24"/>
        </w:rPr>
        <w:t xml:space="preserve">Mainero, </w:t>
      </w:r>
      <w:r>
        <w:rPr>
          <w:rFonts w:cstheme="minorHAnsi"/>
          <w:sz w:val="24"/>
          <w:szCs w:val="24"/>
        </w:rPr>
        <w:t xml:space="preserve">con una embolsadora de granos secos de capacidad entre 350 a 400 toneladas hora para bolsas de 9 pies de cualquier largo; </w:t>
      </w:r>
      <w:r>
        <w:rPr>
          <w:rFonts w:cstheme="minorHAnsi"/>
          <w:b/>
          <w:bCs/>
          <w:sz w:val="24"/>
          <w:szCs w:val="24"/>
        </w:rPr>
        <w:t xml:space="preserve">Piersanti </w:t>
      </w:r>
      <w:r>
        <w:rPr>
          <w:rFonts w:cstheme="minorHAnsi"/>
          <w:sz w:val="24"/>
          <w:szCs w:val="24"/>
        </w:rPr>
        <w:t>con el Draper DF 2000 de 30 pies de ancho de corte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 también</w:t>
      </w:r>
      <w:r>
        <w:rPr>
          <w:rFonts w:cstheme="minorHAnsi"/>
          <w:b/>
          <w:bCs/>
          <w:sz w:val="24"/>
          <w:szCs w:val="24"/>
        </w:rPr>
        <w:t xml:space="preserve"> Richiger</w:t>
      </w:r>
      <w:r>
        <w:rPr>
          <w:rFonts w:cstheme="minorHAnsi"/>
          <w:sz w:val="24"/>
          <w:szCs w:val="24"/>
        </w:rPr>
        <w:t xml:space="preserve">. </w:t>
      </w:r>
    </w:p>
    <w:p w14:paraId="5A479933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Sobre presencia argentina, desde Expoagro, señalaron: “</w:t>
      </w:r>
      <w:r>
        <w:rPr>
          <w:rFonts w:cstheme="minorHAnsi"/>
          <w:i/>
          <w:iCs/>
          <w:sz w:val="24"/>
          <w:szCs w:val="24"/>
        </w:rPr>
        <w:t xml:space="preserve">Acompañamos el desarrollo de la maquinaria y tecnología argentina, impulsando su presencia en ferias internacionales. </w:t>
      </w:r>
      <w:r>
        <w:rPr>
          <w:rFonts w:cstheme="minorHAnsi"/>
          <w:b/>
          <w:bCs/>
          <w:i/>
          <w:iCs/>
          <w:sz w:val="24"/>
          <w:szCs w:val="24"/>
        </w:rPr>
        <w:lastRenderedPageBreak/>
        <w:t>Participar en Agritechnica, no solo aumenta la visibilidad de la tecnología argentina, sino que también brinda oportunidades únicas para establecer conexiones comerciales, atraer inversores y colaborar con socios estratégicos</w:t>
      </w:r>
      <w:r>
        <w:rPr>
          <w:rFonts w:cstheme="minorHAnsi"/>
          <w:i/>
          <w:iCs/>
          <w:sz w:val="24"/>
          <w:szCs w:val="24"/>
        </w:rPr>
        <w:t>. Estos eventos son vitrinas que nos permiten mostrar al mundo el potencial y la innovación que caracterizan a la agroindustria argentina</w:t>
      </w:r>
      <w:r>
        <w:rPr>
          <w:rFonts w:cstheme="minorHAnsi"/>
          <w:sz w:val="24"/>
          <w:szCs w:val="24"/>
        </w:rPr>
        <w:t xml:space="preserve">”. </w:t>
      </w:r>
    </w:p>
    <w:p w14:paraId="07CD105F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El desafío de potenciar la marca país</w:t>
      </w:r>
    </w:p>
    <w:p w14:paraId="60F9D3FE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sintonía, Fernando Brun, embajador de Argentina en Alemania, analizó: “</w:t>
      </w:r>
      <w:r>
        <w:rPr>
          <w:rFonts w:cstheme="minorHAnsi"/>
          <w:i/>
          <w:iCs/>
          <w:sz w:val="24"/>
          <w:szCs w:val="24"/>
        </w:rPr>
        <w:t xml:space="preserve">Quienes hemos tenido el privilegio de compartir tanto Expoagro en San Nicolás como Agritechnica en Hannover junto al dinamismo de la agroindustria argentina, </w:t>
      </w:r>
      <w:r>
        <w:rPr>
          <w:rFonts w:cstheme="minorHAnsi"/>
          <w:b/>
          <w:bCs/>
          <w:i/>
          <w:iCs/>
          <w:sz w:val="24"/>
          <w:szCs w:val="24"/>
        </w:rPr>
        <w:t>llevamos en nuestro ADN el desafío de potenciar, con cada nueva edición, la visibilidad de un sector de nuestra tierra que hace a la marca país</w:t>
      </w:r>
      <w:r>
        <w:rPr>
          <w:rFonts w:cstheme="minorHAnsi"/>
          <w:i/>
          <w:iCs/>
          <w:sz w:val="24"/>
          <w:szCs w:val="24"/>
        </w:rPr>
        <w:t>, marcando -valga la redundancia- estándares internacionales en materia de innovación en tecnología agropecuaria aplicada a la sustentabilidad del agro</w:t>
      </w:r>
      <w:r>
        <w:rPr>
          <w:rFonts w:cstheme="minorHAnsi"/>
          <w:sz w:val="24"/>
          <w:szCs w:val="24"/>
        </w:rPr>
        <w:t xml:space="preserve">”. </w:t>
      </w:r>
    </w:p>
    <w:p w14:paraId="6B469C0D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misma línea, señaló: “</w:t>
      </w:r>
      <w:r>
        <w:rPr>
          <w:rFonts w:cstheme="minorHAnsi"/>
          <w:b/>
          <w:bCs/>
          <w:i/>
          <w:iCs/>
          <w:sz w:val="24"/>
          <w:szCs w:val="24"/>
        </w:rPr>
        <w:t>Compartimos el objetivo central de posicionar a los fabricantes argentinos en los mercados internacionales</w:t>
      </w:r>
      <w:r>
        <w:rPr>
          <w:rFonts w:cstheme="minorHAnsi"/>
          <w:i/>
          <w:iCs/>
          <w:sz w:val="24"/>
          <w:szCs w:val="24"/>
        </w:rPr>
        <w:t>, impulsando de manera sostenible las exportaciones y forjando esta impronta como marca país, configurando así una política destinada a fortalecer la presencia de la maquinaria agrícola argentina en los mercados internacionales</w:t>
      </w:r>
      <w:r>
        <w:rPr>
          <w:rFonts w:cstheme="minorHAnsi"/>
          <w:sz w:val="24"/>
          <w:szCs w:val="24"/>
        </w:rPr>
        <w:t xml:space="preserve">”. </w:t>
      </w:r>
    </w:p>
    <w:p w14:paraId="0EDD8454" w14:textId="77777777" w:rsidR="00811EDD" w:rsidRDefault="00811EDD" w:rsidP="00811ED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Lanzamiento de AGRINOVA</w:t>
      </w:r>
    </w:p>
    <w:p w14:paraId="632A49AE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Este martes, Agritechnica fue el escenario elegido para </w:t>
      </w:r>
      <w:r>
        <w:rPr>
          <w:b/>
          <w:bCs/>
          <w:sz w:val="24"/>
          <w:szCs w:val="24"/>
        </w:rPr>
        <w:t>presentar la marca sectorial AGRINOVA</w:t>
      </w:r>
      <w:r>
        <w:rPr>
          <w:sz w:val="24"/>
          <w:szCs w:val="24"/>
        </w:rPr>
        <w:t xml:space="preserve"> que apunta a fortalecer el comercio exterior de las empresas del sector. “</w:t>
      </w:r>
      <w:r>
        <w:rPr>
          <w:i/>
          <w:iCs/>
          <w:sz w:val="24"/>
          <w:szCs w:val="24"/>
        </w:rPr>
        <w:t xml:space="preserve">Nos va a alinear en la estrategia de internacionalización de la maquinaria agrícola. </w:t>
      </w:r>
      <w:r>
        <w:rPr>
          <w:b/>
          <w:bCs/>
          <w:i/>
          <w:iCs/>
          <w:sz w:val="24"/>
          <w:szCs w:val="24"/>
        </w:rPr>
        <w:t>La idea es darla a conocer al mundo para después planificar las acciones en el futuro bajo esta marca</w:t>
      </w:r>
      <w:r>
        <w:rPr>
          <w:sz w:val="24"/>
          <w:szCs w:val="24"/>
        </w:rPr>
        <w:t xml:space="preserve">”, así lo expresó </w:t>
      </w:r>
      <w:r>
        <w:rPr>
          <w:rFonts w:cstheme="minorHAnsi"/>
          <w:sz w:val="24"/>
          <w:szCs w:val="24"/>
        </w:rPr>
        <w:t xml:space="preserve">Carlos Braga, </w:t>
      </w:r>
      <w:bookmarkStart w:id="0" w:name="_Hlk150886623"/>
      <w:r>
        <w:rPr>
          <w:rFonts w:cstheme="minorHAnsi"/>
          <w:sz w:val="24"/>
          <w:szCs w:val="24"/>
        </w:rPr>
        <w:t>de la Comisión de Comercio Exterior de CAFMA.</w:t>
      </w:r>
    </w:p>
    <w:bookmarkEnd w:id="0"/>
    <w:p w14:paraId="685976C5" w14:textId="77777777" w:rsidR="00811EDD" w:rsidRDefault="00811EDD" w:rsidP="00811E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Además de este lanzamiento, los principales motivos que impulsan la presencia de CAFMA es </w:t>
      </w:r>
      <w:r>
        <w:rPr>
          <w:sz w:val="24"/>
          <w:szCs w:val="24"/>
        </w:rPr>
        <w:t>acompañar a los socios de la Cámara que participan dentro y fuera del pabellón argentino, y formar parte de este pabellón, un gran ejemplo de la sinergia entre lo público-privado. “</w:t>
      </w:r>
      <w:r>
        <w:rPr>
          <w:b/>
          <w:bCs/>
          <w:i/>
          <w:iCs/>
          <w:sz w:val="24"/>
          <w:szCs w:val="24"/>
        </w:rPr>
        <w:t>Básicamente, mostrarnos al mundo. Entre las reuniones que tenemos programadas, participaremos del encuentro de fin de año de Agrievolution que se realizará aquí</w:t>
      </w:r>
      <w:r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, agregó Braga. </w:t>
      </w:r>
    </w:p>
    <w:p w14:paraId="4B2E463F" w14:textId="77777777" w:rsidR="00811EDD" w:rsidRDefault="00811EDD" w:rsidP="00811EDD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Potencial argentino Agtech</w:t>
      </w:r>
    </w:p>
    <w:p w14:paraId="4949C131" w14:textId="77777777" w:rsidR="00811EDD" w:rsidRDefault="00811EDD" w:rsidP="00811EDD">
      <w:pPr>
        <w:jc w:val="both"/>
        <w:rPr>
          <w:sz w:val="24"/>
          <w:szCs w:val="24"/>
        </w:rPr>
      </w:pPr>
      <w:r>
        <w:rPr>
          <w:sz w:val="24"/>
          <w:szCs w:val="24"/>
        </w:rPr>
        <w:t>Desde hace tres años Argentina mantiene un diálogo bilateral con Alemania relacionado a las Agtech. Respecto a esta relación, Andrés Méndez, director de Innovación de la Secretaría de Agricultura, Ganadería y Pesca de la Nación, dijo: “</w:t>
      </w:r>
      <w:r>
        <w:rPr>
          <w:b/>
          <w:bCs/>
          <w:i/>
          <w:iCs/>
          <w:sz w:val="24"/>
          <w:szCs w:val="24"/>
        </w:rPr>
        <w:t>Tomamos el tema de agtech de una manera, hablamos de ecosistemas dinámicos y colaborativos</w:t>
      </w:r>
      <w:r>
        <w:rPr>
          <w:i/>
          <w:iCs/>
          <w:sz w:val="24"/>
          <w:szCs w:val="24"/>
        </w:rPr>
        <w:t xml:space="preserve">, donde no creemos que una sola agtech vaya a cambiar el mundo del agro, sino que </w:t>
      </w:r>
      <w:proofErr w:type="spellStart"/>
      <w:r>
        <w:rPr>
          <w:i/>
          <w:iCs/>
          <w:sz w:val="24"/>
          <w:szCs w:val="24"/>
        </w:rPr>
        <w:t>el</w:t>
      </w:r>
      <w:proofErr w:type="spellEnd"/>
      <w:r>
        <w:rPr>
          <w:i/>
          <w:iCs/>
          <w:sz w:val="24"/>
          <w:szCs w:val="24"/>
        </w:rPr>
        <w:t xml:space="preserve"> un conjunto de Agtech puede ser innovador. Sobre eso armamos más de 10 ecosistemas</w:t>
      </w:r>
      <w:r>
        <w:rPr>
          <w:sz w:val="24"/>
          <w:szCs w:val="24"/>
        </w:rPr>
        <w:t xml:space="preserve">”. </w:t>
      </w:r>
    </w:p>
    <w:p w14:paraId="2D855AA1" w14:textId="77777777" w:rsidR="00811EDD" w:rsidRDefault="00811EDD" w:rsidP="00811ED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 referirse a la vidriera argentina en la feria alemana, subrayó: “</w:t>
      </w:r>
      <w:r>
        <w:rPr>
          <w:b/>
          <w:bCs/>
          <w:i/>
          <w:iCs/>
          <w:sz w:val="24"/>
          <w:szCs w:val="24"/>
        </w:rPr>
        <w:t>Argentina tiene que mostrar lo puede aportar, que son sistemas. Por ejemplo, el sistema de Siembra Directa</w:t>
      </w:r>
      <w:r>
        <w:rPr>
          <w:i/>
          <w:iCs/>
          <w:sz w:val="24"/>
          <w:szCs w:val="24"/>
        </w:rPr>
        <w:t xml:space="preserve"> con maquinaria, con agricultura de precisión, con tecnología, es algo donde Argentina siempre ha aportado, pero siempre y cuando se use todo como un sistema de trabajo, no solamente con una maquinaria aislada</w:t>
      </w:r>
      <w:r>
        <w:rPr>
          <w:sz w:val="24"/>
          <w:szCs w:val="24"/>
        </w:rPr>
        <w:t xml:space="preserve">”. </w:t>
      </w:r>
    </w:p>
    <w:p w14:paraId="6FF2A68E" w14:textId="77777777" w:rsidR="00811EDD" w:rsidRDefault="00811EDD" w:rsidP="00811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cabe destacar que una de las agtech con gran trayectoria en el sector como lo es Auravant, participa por primera vez en Agritechnica. </w:t>
      </w:r>
    </w:p>
    <w:p w14:paraId="4AEC8E25" w14:textId="77777777" w:rsidR="00811EDD" w:rsidRDefault="00811EDD" w:rsidP="00811EDD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Nuestro objetivo es dar a conocer la plataforma y generar relacionamiento con empresas del sector. Creemos que existe una gran oportunidad para crecer tanto en Alemania como en el resto de Europa ya que </w:t>
      </w:r>
      <w:r>
        <w:rPr>
          <w:b/>
          <w:bCs/>
          <w:i/>
          <w:iCs/>
          <w:sz w:val="24"/>
          <w:szCs w:val="24"/>
        </w:rPr>
        <w:t>Argentina es uno de los referentes en adopción y desarrollo tecnológico en agricultura digital</w:t>
      </w:r>
      <w:r>
        <w:rPr>
          <w:sz w:val="24"/>
          <w:szCs w:val="24"/>
        </w:rPr>
        <w:t xml:space="preserve">”, dijo Agustín Michlig, Líder de Producto de Auravant. </w:t>
      </w:r>
    </w:p>
    <w:p w14:paraId="70160551" w14:textId="77777777" w:rsidR="00811EDD" w:rsidRDefault="00811EDD" w:rsidP="00811EDD">
      <w:pPr>
        <w:jc w:val="both"/>
        <w:rPr>
          <w:sz w:val="24"/>
          <w:szCs w:val="24"/>
        </w:rPr>
      </w:pPr>
      <w:r>
        <w:rPr>
          <w:sz w:val="24"/>
          <w:szCs w:val="24"/>
        </w:rPr>
        <w:t>También están mostrando las nuevas funcionalidades en sustentabilidad, las cuales permiten medir el impacto ambiental generado por prácticas agronómicas. “</w:t>
      </w:r>
      <w:r>
        <w:rPr>
          <w:b/>
          <w:bCs/>
          <w:i/>
          <w:iCs/>
          <w:sz w:val="24"/>
          <w:szCs w:val="24"/>
        </w:rPr>
        <w:t>Programamos una agenda de encuentros con clientes y empresas de todo tipo</w:t>
      </w:r>
      <w:r>
        <w:rPr>
          <w:i/>
          <w:iCs/>
          <w:sz w:val="24"/>
          <w:szCs w:val="24"/>
        </w:rPr>
        <w:t xml:space="preserve"> con las cuales estamos colaborando</w:t>
      </w:r>
      <w:r>
        <w:rPr>
          <w:sz w:val="24"/>
          <w:szCs w:val="24"/>
        </w:rPr>
        <w:t xml:space="preserve">”, concluyó Michlig. </w:t>
      </w:r>
    </w:p>
    <w:p w14:paraId="17D6F980" w14:textId="5E760AE8" w:rsidR="00811EDD" w:rsidRPr="007D119A" w:rsidRDefault="007D119A" w:rsidP="007D119A">
      <w:pPr>
        <w:jc w:val="both"/>
        <w:rPr>
          <w:sz w:val="24"/>
          <w:szCs w:val="24"/>
        </w:rPr>
      </w:pPr>
      <w:r w:rsidRPr="007D119A">
        <w:rPr>
          <w:sz w:val="24"/>
          <w:szCs w:val="24"/>
        </w:rPr>
        <w:t xml:space="preserve">La megaferia se realiza hasta el 18 de noviembre en la ciudad de Hannover y cuenta 2.700 expositores de 53 países, distribuidos en 390.000 mts2 (24 pabellones). Cabe destacar </w:t>
      </w:r>
      <w:proofErr w:type="gramStart"/>
      <w:r w:rsidRPr="007D119A">
        <w:rPr>
          <w:sz w:val="24"/>
          <w:szCs w:val="24"/>
        </w:rPr>
        <w:t>que</w:t>
      </w:r>
      <w:proofErr w:type="gramEnd"/>
      <w:r w:rsidRPr="007D119A">
        <w:rPr>
          <w:sz w:val="24"/>
          <w:szCs w:val="24"/>
        </w:rPr>
        <w:t xml:space="preserve"> en esta edición, el tema principal fue la </w:t>
      </w:r>
      <w:r w:rsidRPr="007D119A">
        <w:rPr>
          <w:rStyle w:val="Textoennegrita"/>
          <w:sz w:val="24"/>
          <w:szCs w:val="24"/>
        </w:rPr>
        <w:t>Productividad Verde</w:t>
      </w:r>
      <w:r w:rsidRPr="007D119A">
        <w:rPr>
          <w:sz w:val="24"/>
          <w:szCs w:val="24"/>
        </w:rPr>
        <w:t>. “</w:t>
      </w:r>
      <w:r w:rsidRPr="007D119A">
        <w:rPr>
          <w:rStyle w:val="nfasis"/>
          <w:sz w:val="24"/>
          <w:szCs w:val="24"/>
        </w:rPr>
        <w:t>En el futuro, será importante aumentar la productividad con un menor uso y menor intensidad de insumos agrícolas, protegiendo al mismo tiempo el medio ambiente y la naturaleza</w:t>
      </w:r>
      <w:r w:rsidRPr="007D119A">
        <w:rPr>
          <w:sz w:val="24"/>
          <w:szCs w:val="24"/>
        </w:rPr>
        <w:t>”, informaron los organizadores.</w:t>
      </w:r>
    </w:p>
    <w:p w14:paraId="58458F25" w14:textId="28F1199C" w:rsidR="001E4729" w:rsidRPr="007962CA" w:rsidRDefault="007B4A64" w:rsidP="007962CA">
      <w:r w:rsidRPr="007962CA">
        <w:t xml:space="preserve"> </w:t>
      </w:r>
    </w:p>
    <w:sectPr w:rsidR="001E4729" w:rsidRPr="007962CA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2A65" w14:textId="77777777" w:rsidR="00E2275C" w:rsidRDefault="00E2275C" w:rsidP="007E04F5">
      <w:pPr>
        <w:spacing w:after="0" w:line="240" w:lineRule="auto"/>
      </w:pPr>
      <w:r>
        <w:separator/>
      </w:r>
    </w:p>
  </w:endnote>
  <w:endnote w:type="continuationSeparator" w:id="0">
    <w:p w14:paraId="4DFD8B80" w14:textId="77777777" w:rsidR="00E2275C" w:rsidRDefault="00E2275C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400F" w14:textId="77777777" w:rsidR="00E2275C" w:rsidRDefault="00E2275C" w:rsidP="007E04F5">
      <w:pPr>
        <w:spacing w:after="0" w:line="240" w:lineRule="auto"/>
      </w:pPr>
      <w:r>
        <w:separator/>
      </w:r>
    </w:p>
  </w:footnote>
  <w:footnote w:type="continuationSeparator" w:id="0">
    <w:p w14:paraId="0F1ABBF3" w14:textId="77777777" w:rsidR="00E2275C" w:rsidRDefault="00E2275C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2A6"/>
    <w:rsid w:val="00002BC5"/>
    <w:rsid w:val="000359C0"/>
    <w:rsid w:val="00042106"/>
    <w:rsid w:val="00054237"/>
    <w:rsid w:val="00056CA5"/>
    <w:rsid w:val="0009005E"/>
    <w:rsid w:val="000A29DD"/>
    <w:rsid w:val="000A3325"/>
    <w:rsid w:val="000C367C"/>
    <w:rsid w:val="000C7994"/>
    <w:rsid w:val="000D730C"/>
    <w:rsid w:val="00103675"/>
    <w:rsid w:val="0010753C"/>
    <w:rsid w:val="00117263"/>
    <w:rsid w:val="00137628"/>
    <w:rsid w:val="00180E3A"/>
    <w:rsid w:val="00182020"/>
    <w:rsid w:val="001A20F5"/>
    <w:rsid w:val="001B6161"/>
    <w:rsid w:val="001D3805"/>
    <w:rsid w:val="001D59D8"/>
    <w:rsid w:val="001E4729"/>
    <w:rsid w:val="001E7A3D"/>
    <w:rsid w:val="001F6D3F"/>
    <w:rsid w:val="00215AD3"/>
    <w:rsid w:val="00240454"/>
    <w:rsid w:val="002A5B95"/>
    <w:rsid w:val="00320F7B"/>
    <w:rsid w:val="00337E74"/>
    <w:rsid w:val="00345EEC"/>
    <w:rsid w:val="00347F40"/>
    <w:rsid w:val="00353B4A"/>
    <w:rsid w:val="00357C47"/>
    <w:rsid w:val="00382575"/>
    <w:rsid w:val="003C27F1"/>
    <w:rsid w:val="003D6B68"/>
    <w:rsid w:val="003F6BAD"/>
    <w:rsid w:val="00416BED"/>
    <w:rsid w:val="00422573"/>
    <w:rsid w:val="004314D2"/>
    <w:rsid w:val="00431F6D"/>
    <w:rsid w:val="00437CE6"/>
    <w:rsid w:val="00444CDD"/>
    <w:rsid w:val="00457049"/>
    <w:rsid w:val="00460447"/>
    <w:rsid w:val="00483BFC"/>
    <w:rsid w:val="00492190"/>
    <w:rsid w:val="00496A16"/>
    <w:rsid w:val="004B69F3"/>
    <w:rsid w:val="004D2B4D"/>
    <w:rsid w:val="004D44AC"/>
    <w:rsid w:val="004F1B41"/>
    <w:rsid w:val="005174D0"/>
    <w:rsid w:val="00541E4B"/>
    <w:rsid w:val="005633AE"/>
    <w:rsid w:val="00567B88"/>
    <w:rsid w:val="00583DA9"/>
    <w:rsid w:val="005A2E6D"/>
    <w:rsid w:val="005F2210"/>
    <w:rsid w:val="00617742"/>
    <w:rsid w:val="0062488B"/>
    <w:rsid w:val="00640EC5"/>
    <w:rsid w:val="00665DE6"/>
    <w:rsid w:val="006A3EAB"/>
    <w:rsid w:val="006A49A1"/>
    <w:rsid w:val="006C4192"/>
    <w:rsid w:val="006D091B"/>
    <w:rsid w:val="00707F48"/>
    <w:rsid w:val="0071553A"/>
    <w:rsid w:val="00722959"/>
    <w:rsid w:val="007439B2"/>
    <w:rsid w:val="00747A97"/>
    <w:rsid w:val="007716F6"/>
    <w:rsid w:val="00772800"/>
    <w:rsid w:val="007962CA"/>
    <w:rsid w:val="00796DBA"/>
    <w:rsid w:val="007A4099"/>
    <w:rsid w:val="007B4A64"/>
    <w:rsid w:val="007B68C4"/>
    <w:rsid w:val="007D119A"/>
    <w:rsid w:val="007D469C"/>
    <w:rsid w:val="007E04F5"/>
    <w:rsid w:val="007E50BE"/>
    <w:rsid w:val="007E77B6"/>
    <w:rsid w:val="00805095"/>
    <w:rsid w:val="00811EDD"/>
    <w:rsid w:val="00813DB7"/>
    <w:rsid w:val="00816A34"/>
    <w:rsid w:val="00822201"/>
    <w:rsid w:val="0082297B"/>
    <w:rsid w:val="0084075B"/>
    <w:rsid w:val="0084348B"/>
    <w:rsid w:val="00845A06"/>
    <w:rsid w:val="008549CA"/>
    <w:rsid w:val="008915ED"/>
    <w:rsid w:val="008A3A27"/>
    <w:rsid w:val="008A3E49"/>
    <w:rsid w:val="008D0B02"/>
    <w:rsid w:val="008D67BB"/>
    <w:rsid w:val="008E059F"/>
    <w:rsid w:val="008F727A"/>
    <w:rsid w:val="00923F99"/>
    <w:rsid w:val="0093041A"/>
    <w:rsid w:val="009538A4"/>
    <w:rsid w:val="00953E59"/>
    <w:rsid w:val="009831FD"/>
    <w:rsid w:val="009A22FA"/>
    <w:rsid w:val="009C3950"/>
    <w:rsid w:val="009C520C"/>
    <w:rsid w:val="009D20E9"/>
    <w:rsid w:val="009D2F25"/>
    <w:rsid w:val="009D50F3"/>
    <w:rsid w:val="009F1E95"/>
    <w:rsid w:val="00A14C33"/>
    <w:rsid w:val="00A162ED"/>
    <w:rsid w:val="00A363F1"/>
    <w:rsid w:val="00A656C8"/>
    <w:rsid w:val="00A8494E"/>
    <w:rsid w:val="00AB04BD"/>
    <w:rsid w:val="00AC3EE9"/>
    <w:rsid w:val="00AD77FC"/>
    <w:rsid w:val="00AE44AE"/>
    <w:rsid w:val="00B142A3"/>
    <w:rsid w:val="00B43D57"/>
    <w:rsid w:val="00B43F14"/>
    <w:rsid w:val="00B708C1"/>
    <w:rsid w:val="00B76ACA"/>
    <w:rsid w:val="00B84ACB"/>
    <w:rsid w:val="00B936C8"/>
    <w:rsid w:val="00BD4712"/>
    <w:rsid w:val="00BE0FE3"/>
    <w:rsid w:val="00BE37A8"/>
    <w:rsid w:val="00BE6F67"/>
    <w:rsid w:val="00BF346F"/>
    <w:rsid w:val="00C27950"/>
    <w:rsid w:val="00C55F85"/>
    <w:rsid w:val="00C663D9"/>
    <w:rsid w:val="00C66E4B"/>
    <w:rsid w:val="00C9105E"/>
    <w:rsid w:val="00C963B4"/>
    <w:rsid w:val="00CA3ED7"/>
    <w:rsid w:val="00CC155B"/>
    <w:rsid w:val="00CC2AC9"/>
    <w:rsid w:val="00CF54E1"/>
    <w:rsid w:val="00D01951"/>
    <w:rsid w:val="00D20352"/>
    <w:rsid w:val="00D227E2"/>
    <w:rsid w:val="00D24CA1"/>
    <w:rsid w:val="00D32E05"/>
    <w:rsid w:val="00D42416"/>
    <w:rsid w:val="00D45E74"/>
    <w:rsid w:val="00D953B3"/>
    <w:rsid w:val="00DA064D"/>
    <w:rsid w:val="00DC68AE"/>
    <w:rsid w:val="00DD2D7C"/>
    <w:rsid w:val="00DE31B5"/>
    <w:rsid w:val="00DF4217"/>
    <w:rsid w:val="00DF66B5"/>
    <w:rsid w:val="00E2275C"/>
    <w:rsid w:val="00E606C7"/>
    <w:rsid w:val="00E94E9C"/>
    <w:rsid w:val="00E9559E"/>
    <w:rsid w:val="00EA2BF2"/>
    <w:rsid w:val="00ED5FF3"/>
    <w:rsid w:val="00F2765F"/>
    <w:rsid w:val="00F80FFE"/>
    <w:rsid w:val="00FB3E86"/>
    <w:rsid w:val="00FC1FAA"/>
    <w:rsid w:val="00FE37D0"/>
    <w:rsid w:val="00FE3D5B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D20352"/>
    <w:rPr>
      <w:b/>
      <w:bCs/>
    </w:rPr>
  </w:style>
  <w:style w:type="character" w:styleId="nfasis">
    <w:name w:val="Emphasis"/>
    <w:basedOn w:val="Fuentedeprrafopredeter"/>
    <w:uiPriority w:val="20"/>
    <w:qFormat/>
    <w:rsid w:val="007D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2</cp:revision>
  <dcterms:created xsi:type="dcterms:W3CDTF">2023-11-15T11:33:00Z</dcterms:created>
  <dcterms:modified xsi:type="dcterms:W3CDTF">2023-11-15T11:33:00Z</dcterms:modified>
</cp:coreProperties>
</file>