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Rosgan subastó 38.200 cabezas de invernada en un remate sin precedentes para la entidad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i w:val="1"/>
          <w:iCs w:val="1"/>
          <w:color w:val="000000"/>
        </w:rPr>
      </w:pPr>
      <w:bookmarkStart w:colFirst="0" w:colLast="0" w:name="_heading=h.dbrf0t56un5m" w:id="0"/>
      <w:bookmarkEnd w:id="0"/>
      <w:r w:rsidDel="00000000" w:rsidR="00000000" w:rsidRPr="00000000">
        <w:rPr>
          <w:i w:val="1"/>
          <w:iCs w:val="1"/>
          <w:color w:val="000000"/>
          <w:rtl w:val="0"/>
        </w:rPr>
        <w:t xml:space="preserve">Más de 460 lotes exclusivos de </w:t>
      </w:r>
      <w:r w:rsidDel="00000000" w:rsidR="00000000" w:rsidRPr="00000000">
        <w:rPr>
          <w:i w:val="1"/>
          <w:iCs w:val="1"/>
          <w:rtl w:val="0"/>
        </w:rPr>
        <w:t xml:space="preserve">ese segmento </w:t>
      </w:r>
      <w:r w:rsidDel="00000000" w:rsidR="00000000" w:rsidRPr="00000000">
        <w:rPr>
          <w:i w:val="1"/>
          <w:iCs w:val="1"/>
          <w:color w:val="000000"/>
          <w:rtl w:val="0"/>
        </w:rPr>
        <w:t xml:space="preserve">se remataron en el sector ganadero de </w:t>
      </w:r>
      <w:r w:rsidDel="00000000" w:rsidR="00000000" w:rsidRPr="00000000">
        <w:rPr>
          <w:b w:val="1"/>
          <w:bCs w:val="1"/>
          <w:i w:val="1"/>
          <w:iCs w:val="1"/>
          <w:color w:val="000000"/>
          <w:rtl w:val="0"/>
        </w:rPr>
        <w:t xml:space="preserve">Expoagro 2026</w:t>
      </w:r>
      <w:r w:rsidDel="00000000" w:rsidR="00000000" w:rsidRPr="00000000">
        <w:rPr>
          <w:i w:val="1"/>
          <w:iCs w:val="1"/>
          <w:color w:val="000000"/>
          <w:rtl w:val="0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color w:val="000000"/>
          <w:rtl w:val="0"/>
        </w:rPr>
        <w:t xml:space="preserve">edición YPF Agro</w:t>
      </w:r>
      <w:r w:rsidDel="00000000" w:rsidR="00000000" w:rsidRPr="00000000">
        <w:rPr>
          <w:i w:val="1"/>
          <w:iCs w:val="1"/>
          <w:color w:val="000000"/>
          <w:rtl w:val="0"/>
        </w:rPr>
        <w:t xml:space="preserve">. Con hacienda de 12 provincias y 336 remitentes, la subasta se caracterizó por la alta demanda y los precios sostenidos. </w:t>
      </w:r>
    </w:p>
    <w:p w:rsidR="00000000" w:rsidDel="00000000" w:rsidP="00000000" w:rsidRDefault="00000000" w:rsidRPr="00000000" w14:paraId="00000004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Desde las 9 de la mañana del jueves 12 de marzo </w:t>
      </w:r>
      <w:r w:rsidDel="00000000" w:rsidR="00000000" w:rsidRPr="00000000">
        <w:rPr>
          <w:color w:val="000000"/>
          <w:rtl w:val="0"/>
        </w:rPr>
        <w:t xml:space="preserve">se llevó a cabo el remate de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Rosgan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en la </w:t>
      </w:r>
      <w:r w:rsidDel="00000000" w:rsidR="00000000" w:rsidRPr="00000000">
        <w:rPr>
          <w:b w:val="1"/>
          <w:bCs w:val="1"/>
          <w:rtl w:val="0"/>
        </w:rPr>
        <w:t xml:space="preserve">Carpa de Remates IPCVA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del sector ganadero de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Expoagro 2026</w:t>
      </w:r>
      <w:r w:rsidDel="00000000" w:rsidR="00000000" w:rsidRPr="00000000">
        <w:rPr>
          <w:color w:val="000000"/>
          <w:rtl w:val="0"/>
        </w:rPr>
        <w:t xml:space="preserve">. El presidente de la entidad,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Raúl </w:t>
      </w:r>
      <w:r w:rsidDel="00000000" w:rsidR="00000000" w:rsidRPr="00000000">
        <w:rPr>
          <w:b w:val="1"/>
          <w:bCs w:val="1"/>
          <w:rtl w:val="0"/>
        </w:rPr>
        <w:t xml:space="preserve">Milano, destacó</w:t>
      </w:r>
      <w:r w:rsidDel="00000000" w:rsidR="00000000" w:rsidRPr="00000000">
        <w:rPr>
          <w:color w:val="000000"/>
          <w:rtl w:val="0"/>
        </w:rPr>
        <w:t xml:space="preserve"> la </w:t>
      </w:r>
      <w:r w:rsidDel="00000000" w:rsidR="00000000" w:rsidRPr="00000000">
        <w:rPr>
          <w:i w:val="1"/>
          <w:iCs w:val="1"/>
          <w:color w:val="000000"/>
          <w:rtl w:val="0"/>
        </w:rPr>
        <w:t xml:space="preserve">“calidad premium de la hacienda</w:t>
      </w:r>
      <w:r w:rsidDel="00000000" w:rsidR="00000000" w:rsidRPr="00000000">
        <w:rPr>
          <w:color w:val="000000"/>
          <w:rtl w:val="0"/>
        </w:rPr>
        <w:t xml:space="preserve">” y la cantidad de cabezas que sentaron un nuevo precedente.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Milano comentó que a lo largo de la subasta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“se mantuvo una demanda muy sostenida y firme que puso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precios promedios en niveles realmente interesantes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”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En este sentido, precisó que “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Rosgan pudo mantener un remate muy consolidado donde hubo demanda tanto del invernador tradicional, como también del feedlotero”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06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Otro aspecto saliente del remate fue la gran oferta, con </w:t>
      </w:r>
      <w:r w:rsidDel="00000000" w:rsidR="00000000" w:rsidRPr="00000000">
        <w:rPr>
          <w:color w:val="000000"/>
          <w:rtl w:val="0"/>
        </w:rPr>
        <w:t xml:space="preserve">más de 460 lotes y un total de 38.200 cabezas. “</w:t>
      </w:r>
      <w:r w:rsidDel="00000000" w:rsidR="00000000" w:rsidRPr="00000000">
        <w:rPr>
          <w:i w:val="1"/>
          <w:iCs w:val="1"/>
          <w:color w:val="000000"/>
          <w:rtl w:val="0"/>
        </w:rPr>
        <w:t xml:space="preserve">U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na vez más</w:t>
      </w:r>
      <w:r w:rsidDel="00000000" w:rsidR="00000000" w:rsidRPr="00000000">
        <w:rPr>
          <w:i w:val="1"/>
          <w:iCs w:val="1"/>
          <w:rtl w:val="0"/>
        </w:rPr>
        <w:t xml:space="preserve">,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Rosgan logró resultados inéditos en Expoagro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, con una subasta federal y calidades genéticas excepcionales”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concluyó el presidente de la entidad. </w:t>
      </w:r>
    </w:p>
    <w:p w:rsidR="00000000" w:rsidDel="00000000" w:rsidP="00000000" w:rsidRDefault="00000000" w:rsidRPr="00000000" w14:paraId="00000007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 respecto a los precios promedios por kilo de peso en las diferentes categorías, Milano señaló que fueron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“muy interesantes”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y consolidaron la demanda. El ternero logró $6.910, mientras que el segmento ternero/ternera alcanzó los $6.541. El precio para el novillo y vaquillona ascendió a $5.300, en tanto que las terneras promediaron los $6.418. </w:t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Impulso a la actividad ganadera</w:t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Desde Rosgan, entidad integrada por 11 firmas que participan como socias operadoras, destacaron la </w:t>
      </w:r>
      <w:r w:rsidDel="00000000" w:rsidR="00000000" w:rsidRPr="00000000">
        <w:rPr>
          <w:b w:val="1"/>
          <w:bCs w:val="1"/>
          <w:rtl w:val="0"/>
        </w:rPr>
        <w:t xml:space="preserve">línea de financiamiento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lanzada en el marco de la megamuestra, en conjunto con la Bolsa de Comercio de Rosario y los mercados que la integran. Se trata de un instrumento que incluye forward ganadero para toda la cadena de ganados y carnes.</w:t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“</w:t>
      </w:r>
      <w:r w:rsidDel="00000000" w:rsidR="00000000" w:rsidRPr="00000000">
        <w:rPr>
          <w:i w:val="1"/>
          <w:iCs w:val="1"/>
          <w:rtl w:val="0"/>
        </w:rPr>
        <w:t xml:space="preserve">C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on estas herramientas de corto y mediano plazo queremos acompañar el momento destacado, tant</w:t>
      </w:r>
      <w:r w:rsidDel="00000000" w:rsidR="00000000" w:rsidRPr="00000000">
        <w:rPr>
          <w:i w:val="1"/>
          <w:iCs w:val="1"/>
          <w:rtl w:val="0"/>
        </w:rPr>
        <w:t xml:space="preserve">o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en términos de precios </w:t>
      </w:r>
      <w:r w:rsidDel="00000000" w:rsidR="00000000" w:rsidRPr="00000000">
        <w:rPr>
          <w:i w:val="1"/>
          <w:iCs w:val="1"/>
          <w:rtl w:val="0"/>
        </w:rPr>
        <w:t xml:space="preserve">como de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 perspectivas productivas, que atraviesa la ganadería”</w:t>
      </w:r>
      <w:r w:rsidDel="00000000" w:rsidR="00000000" w:rsidRPr="00000000">
        <w:rPr>
          <w:rtl w:val="0"/>
        </w:rPr>
        <w:t xml:space="preserve">, señaló Milano.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Celebración y reconocimiento </w:t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 el marco del remate televisado, las autoridades de Rosgan, encabezadas por Milano, su presidente, Carlos Garcia Beltramé, vicepresidente y Javier Caporno, director titular, entregaron un presente a </w:t>
      </w:r>
      <w:r w:rsidDel="00000000" w:rsidR="00000000" w:rsidRPr="00000000">
        <w:rPr>
          <w:b w:val="1"/>
          <w:bCs w:val="1"/>
          <w:rtl w:val="0"/>
        </w:rPr>
        <w:t xml:space="preserve">Patricio Frydman, gerente comercial de Exponenciar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en reconocimiento por los 20 años de historia de Expoagro y por posicionar la muestra como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“la meca más importante del sector en Argentina y Sudamérica”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</w:t>
      </w:r>
    </w:p>
    <w:sectPr>
      <w:headerReference r:id="rId7" w:type="default"/>
      <w:footerReference r:id="rId8" w:type="default"/>
      <w:pgSz w:h="16839" w:w="11907" w:orient="portrait"/>
      <w:pgMar w:bottom="1417" w:top="1417" w:left="1701" w:right="1701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ind w:left="-1701" w:firstLine="0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7649606" cy="347125"/>
          <wp:effectExtent b="0" l="0" r="0" t="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49606" cy="3471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ind w:left="-1701" w:firstLine="0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7647535" cy="1171592"/>
          <wp:effectExtent b="0" l="0" r="0" t="0"/>
          <wp:docPr id="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47535" cy="117159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-AR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E728E0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E728E0"/>
  </w:style>
  <w:style w:type="paragraph" w:styleId="Piedepgina">
    <w:name w:val="footer"/>
    <w:basedOn w:val="Normal"/>
    <w:link w:val="PiedepginaCar"/>
    <w:uiPriority w:val="99"/>
    <w:unhideWhenUsed w:val="1"/>
    <w:rsid w:val="00E728E0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E728E0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8D7D65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8D7D65"/>
    <w:rPr>
      <w:rFonts w:ascii="Tahoma" w:cs="Tahoma" w:hAnsi="Tahoma"/>
      <w:sz w:val="16"/>
      <w:szCs w:val="16"/>
    </w:rPr>
  </w:style>
  <w:style w:type="paragraph" w:styleId="NormalWeb">
    <w:name w:val="Normal (Web)"/>
    <w:basedOn w:val="Normal"/>
    <w:uiPriority w:val="99"/>
    <w:semiHidden w:val="1"/>
    <w:unhideWhenUsed w:val="1"/>
    <w:rsid w:val="0059438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</w:rPr>
  </w:style>
  <w:style w:type="character" w:styleId="Textoennegrita">
    <w:name w:val="Strong"/>
    <w:basedOn w:val="Fuentedeprrafopredeter"/>
    <w:uiPriority w:val="22"/>
    <w:qFormat w:val="1"/>
    <w:rsid w:val="0059438F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z0n+g+bn6J9EA33KNks+au6qgA==">CgMxLjAyDmguZGJyZjB0NTZ1bjVtOAByITF4M0dFTGxYUThMMThSQnNCNjRURWc4RFQ5V0NYRnc0dw==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2026-03-12T18:23:00Z</dcterms:created>
  <dc:creator>ANYI</dc:creator>
</cp:coreProperties>
</file>