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5774D" w14:textId="7B50802A" w:rsidR="00D22E0F" w:rsidRPr="00D22E0F" w:rsidRDefault="00D22E0F" w:rsidP="00D22E0F">
      <w:pPr>
        <w:pStyle w:val="Subttulo"/>
        <w:jc w:val="center"/>
        <w:rPr>
          <w:rFonts w:asciiTheme="majorHAnsi" w:hAnsiTheme="majorHAnsi" w:cstheme="majorHAnsi"/>
          <w:b/>
          <w:bCs/>
          <w:color w:val="auto"/>
          <w:sz w:val="28"/>
          <w:szCs w:val="28"/>
        </w:rPr>
      </w:pPr>
      <w:r w:rsidRPr="00D22E0F">
        <w:rPr>
          <w:rFonts w:asciiTheme="majorHAnsi" w:hAnsiTheme="majorHAnsi" w:cstheme="majorHAnsi"/>
          <w:b/>
          <w:bCs/>
          <w:color w:val="auto"/>
          <w:sz w:val="28"/>
          <w:szCs w:val="28"/>
        </w:rPr>
        <w:t xml:space="preserve">Syngenta en </w:t>
      </w:r>
      <w:proofErr w:type="spellStart"/>
      <w:r w:rsidRPr="00D22E0F">
        <w:rPr>
          <w:rFonts w:asciiTheme="majorHAnsi" w:hAnsiTheme="majorHAnsi" w:cstheme="majorHAnsi"/>
          <w:b/>
          <w:bCs/>
          <w:color w:val="auto"/>
          <w:sz w:val="28"/>
          <w:szCs w:val="28"/>
        </w:rPr>
        <w:t>Aapresid</w:t>
      </w:r>
      <w:proofErr w:type="spellEnd"/>
      <w:r w:rsidRPr="00D22E0F">
        <w:rPr>
          <w:rFonts w:asciiTheme="majorHAnsi" w:hAnsiTheme="majorHAnsi" w:cstheme="majorHAnsi"/>
          <w:b/>
          <w:bCs/>
          <w:color w:val="auto"/>
          <w:sz w:val="28"/>
          <w:szCs w:val="28"/>
        </w:rPr>
        <w:t xml:space="preserve"> pone el foco en la salud del suelo</w:t>
      </w:r>
    </w:p>
    <w:p w14:paraId="32BECDCB" w14:textId="4F7D05E6" w:rsidR="00D22E0F" w:rsidRPr="00D22E0F" w:rsidRDefault="00D22E0F" w:rsidP="00D22E0F">
      <w:pPr>
        <w:pStyle w:val="Textoindependiente"/>
        <w:numPr>
          <w:ilvl w:val="0"/>
          <w:numId w:val="2"/>
        </w:numPr>
        <w:spacing w:line="276" w:lineRule="auto"/>
        <w:jc w:val="both"/>
        <w:rPr>
          <w:rFonts w:asciiTheme="majorHAnsi" w:hAnsiTheme="majorHAnsi" w:cstheme="majorHAnsi"/>
          <w:sz w:val="24"/>
          <w:szCs w:val="24"/>
        </w:rPr>
      </w:pPr>
      <w:r w:rsidRPr="00D22E0F">
        <w:rPr>
          <w:rFonts w:asciiTheme="majorHAnsi" w:hAnsiTheme="majorHAnsi" w:cstheme="majorHAnsi"/>
          <w:sz w:val="24"/>
          <w:szCs w:val="24"/>
          <w:lang w:val="es-ES"/>
        </w:rPr>
        <w:t>Presenta</w:t>
      </w:r>
      <w:r>
        <w:rPr>
          <w:rFonts w:asciiTheme="majorHAnsi" w:hAnsiTheme="majorHAnsi" w:cstheme="majorHAnsi"/>
          <w:sz w:val="24"/>
          <w:szCs w:val="24"/>
          <w:lang w:val="es-ES"/>
        </w:rPr>
        <w:t>rá</w:t>
      </w:r>
      <w:r w:rsidRPr="00D22E0F">
        <w:rPr>
          <w:rFonts w:asciiTheme="majorHAnsi" w:hAnsiTheme="majorHAnsi" w:cstheme="majorHAnsi"/>
          <w:sz w:val="24"/>
          <w:szCs w:val="24"/>
          <w:lang w:val="es-ES"/>
        </w:rPr>
        <w:t xml:space="preserve"> la </w:t>
      </w:r>
      <w:r w:rsidRPr="00D22E0F">
        <w:rPr>
          <w:rFonts w:asciiTheme="majorHAnsi" w:hAnsiTheme="majorHAnsi" w:cstheme="majorHAnsi"/>
          <w:i/>
          <w:iCs/>
          <w:sz w:val="24"/>
          <w:szCs w:val="24"/>
          <w:lang w:val="es-ES"/>
        </w:rPr>
        <w:t>Guía técnica para la recuperación de suelos degradados</w:t>
      </w:r>
      <w:r w:rsidRPr="00D22E0F">
        <w:rPr>
          <w:rFonts w:asciiTheme="majorHAnsi" w:hAnsiTheme="majorHAnsi" w:cstheme="majorHAnsi"/>
          <w:sz w:val="24"/>
          <w:szCs w:val="24"/>
          <w:lang w:val="es-ES"/>
        </w:rPr>
        <w:t xml:space="preserve">, junto a </w:t>
      </w:r>
      <w:proofErr w:type="spellStart"/>
      <w:r w:rsidRPr="00D22E0F">
        <w:rPr>
          <w:rFonts w:asciiTheme="majorHAnsi" w:hAnsiTheme="majorHAnsi" w:cstheme="majorHAnsi"/>
          <w:sz w:val="24"/>
          <w:szCs w:val="24"/>
          <w:lang w:val="es-ES"/>
        </w:rPr>
        <w:t>Aapresid</w:t>
      </w:r>
      <w:proofErr w:type="spellEnd"/>
      <w:r w:rsidRPr="00D22E0F">
        <w:rPr>
          <w:rFonts w:asciiTheme="majorHAnsi" w:hAnsiTheme="majorHAnsi" w:cstheme="majorHAnsi"/>
          <w:sz w:val="24"/>
          <w:szCs w:val="24"/>
          <w:lang w:val="es-ES"/>
        </w:rPr>
        <w:t xml:space="preserve">, INTA y la Secretaría de Agricultura, </w:t>
      </w:r>
      <w:r w:rsidRPr="00D22E0F">
        <w:rPr>
          <w:rFonts w:asciiTheme="majorHAnsi" w:hAnsiTheme="majorHAnsi" w:cstheme="majorHAnsi"/>
          <w:sz w:val="24"/>
          <w:szCs w:val="24"/>
        </w:rPr>
        <w:t>que estará disponible online y compart</w:t>
      </w:r>
      <w:r>
        <w:rPr>
          <w:rFonts w:asciiTheme="majorHAnsi" w:hAnsiTheme="majorHAnsi" w:cstheme="majorHAnsi"/>
          <w:sz w:val="24"/>
          <w:szCs w:val="24"/>
        </w:rPr>
        <w:t>irá</w:t>
      </w:r>
      <w:r w:rsidRPr="00D22E0F">
        <w:rPr>
          <w:rFonts w:asciiTheme="majorHAnsi" w:hAnsiTheme="majorHAnsi" w:cstheme="majorHAnsi"/>
          <w:sz w:val="24"/>
          <w:szCs w:val="24"/>
        </w:rPr>
        <w:t xml:space="preserve"> prácticas sugeridas para recuperar y sostener el potencial del suelo en distintos sistemas productivos.</w:t>
      </w:r>
    </w:p>
    <w:p w14:paraId="5CE9B24C" w14:textId="77777777" w:rsidR="00D22E0F" w:rsidRPr="00D22E0F" w:rsidRDefault="00D22E0F" w:rsidP="00D22E0F">
      <w:pPr>
        <w:pStyle w:val="Textoindependiente"/>
        <w:spacing w:line="276" w:lineRule="auto"/>
        <w:ind w:left="720"/>
        <w:jc w:val="both"/>
        <w:rPr>
          <w:rFonts w:asciiTheme="majorHAnsi" w:hAnsiTheme="majorHAnsi" w:cstheme="majorHAnsi"/>
          <w:sz w:val="24"/>
          <w:szCs w:val="24"/>
        </w:rPr>
      </w:pPr>
    </w:p>
    <w:p w14:paraId="0C69E760" w14:textId="714F03C8" w:rsidR="00D22E0F" w:rsidRPr="00D22E0F" w:rsidRDefault="00D22E0F" w:rsidP="00D22E0F">
      <w:pPr>
        <w:pStyle w:val="Textoindependiente"/>
        <w:numPr>
          <w:ilvl w:val="0"/>
          <w:numId w:val="2"/>
        </w:numPr>
        <w:spacing w:line="276" w:lineRule="auto"/>
        <w:jc w:val="both"/>
        <w:rPr>
          <w:rFonts w:asciiTheme="majorHAnsi" w:hAnsiTheme="majorHAnsi" w:cstheme="majorHAnsi"/>
          <w:sz w:val="24"/>
          <w:szCs w:val="24"/>
          <w:lang w:val="es-ES"/>
        </w:rPr>
      </w:pPr>
      <w:r w:rsidRPr="00D22E0F">
        <w:rPr>
          <w:rFonts w:asciiTheme="majorHAnsi" w:hAnsiTheme="majorHAnsi" w:cstheme="majorHAnsi"/>
          <w:sz w:val="24"/>
          <w:szCs w:val="24"/>
          <w:lang w:val="es-ES"/>
        </w:rPr>
        <w:t>La compañía también impulsa</w:t>
      </w:r>
      <w:r>
        <w:rPr>
          <w:rFonts w:asciiTheme="majorHAnsi" w:hAnsiTheme="majorHAnsi" w:cstheme="majorHAnsi"/>
          <w:sz w:val="24"/>
          <w:szCs w:val="24"/>
          <w:lang w:val="es-ES"/>
        </w:rPr>
        <w:t>rá</w:t>
      </w:r>
      <w:r w:rsidRPr="00D22E0F">
        <w:rPr>
          <w:rFonts w:asciiTheme="majorHAnsi" w:hAnsiTheme="majorHAnsi" w:cstheme="majorHAnsi"/>
          <w:sz w:val="24"/>
          <w:szCs w:val="24"/>
          <w:lang w:val="es-ES"/>
        </w:rPr>
        <w:t xml:space="preserve"> su programa </w:t>
      </w:r>
      <w:proofErr w:type="spellStart"/>
      <w:r w:rsidRPr="00D22E0F">
        <w:rPr>
          <w:rFonts w:asciiTheme="majorHAnsi" w:hAnsiTheme="majorHAnsi" w:cstheme="majorHAnsi"/>
          <w:bCs/>
          <w:sz w:val="24"/>
          <w:szCs w:val="24"/>
          <w:lang w:val="es-ES"/>
        </w:rPr>
        <w:t>Soil</w:t>
      </w:r>
      <w:proofErr w:type="spellEnd"/>
      <w:r w:rsidRPr="00D22E0F">
        <w:rPr>
          <w:rFonts w:asciiTheme="majorHAnsi" w:hAnsiTheme="majorHAnsi" w:cstheme="majorHAnsi"/>
          <w:bCs/>
          <w:sz w:val="24"/>
          <w:szCs w:val="24"/>
          <w:lang w:val="es-ES"/>
        </w:rPr>
        <w:t xml:space="preserve"> Data </w:t>
      </w:r>
      <w:proofErr w:type="spellStart"/>
      <w:r w:rsidRPr="00D22E0F">
        <w:rPr>
          <w:rFonts w:asciiTheme="majorHAnsi" w:hAnsiTheme="majorHAnsi" w:cstheme="majorHAnsi"/>
          <w:bCs/>
          <w:sz w:val="24"/>
          <w:szCs w:val="24"/>
          <w:lang w:val="es-ES"/>
        </w:rPr>
        <w:t>Fusion</w:t>
      </w:r>
      <w:proofErr w:type="spellEnd"/>
      <w:r w:rsidRPr="00D22E0F">
        <w:rPr>
          <w:rFonts w:asciiTheme="majorHAnsi" w:hAnsiTheme="majorHAnsi" w:cstheme="majorHAnsi"/>
          <w:sz w:val="24"/>
          <w:szCs w:val="24"/>
          <w:lang w:val="es-ES"/>
        </w:rPr>
        <w:t xml:space="preserve">, que utiliza inteligencia artificial para generar mapas de salud del suelo y contribuir a un uso óptimo de insumos. </w:t>
      </w:r>
    </w:p>
    <w:p w14:paraId="55DE1894" w14:textId="77777777" w:rsidR="00D22E0F" w:rsidRPr="00D22E0F" w:rsidRDefault="00D22E0F" w:rsidP="00D22E0F">
      <w:pPr>
        <w:pStyle w:val="Textoindependiente"/>
        <w:spacing w:line="276" w:lineRule="auto"/>
        <w:jc w:val="both"/>
        <w:rPr>
          <w:rFonts w:asciiTheme="majorHAnsi" w:hAnsiTheme="majorHAnsi" w:cstheme="majorHAnsi"/>
          <w:sz w:val="24"/>
          <w:szCs w:val="24"/>
          <w:lang w:val="es-ES"/>
        </w:rPr>
      </w:pPr>
    </w:p>
    <w:p w14:paraId="4461C347" w14:textId="77777777" w:rsidR="00D22E0F" w:rsidRPr="00D22E0F" w:rsidRDefault="00D22E0F" w:rsidP="00D22E0F">
      <w:pPr>
        <w:pStyle w:val="Textoindependiente"/>
        <w:numPr>
          <w:ilvl w:val="0"/>
          <w:numId w:val="2"/>
        </w:numPr>
        <w:spacing w:line="276" w:lineRule="auto"/>
        <w:jc w:val="both"/>
        <w:rPr>
          <w:rFonts w:asciiTheme="majorHAnsi" w:hAnsiTheme="majorHAnsi" w:cstheme="majorHAnsi"/>
          <w:sz w:val="24"/>
          <w:szCs w:val="24"/>
        </w:rPr>
      </w:pPr>
      <w:r w:rsidRPr="00D22E0F">
        <w:rPr>
          <w:rFonts w:asciiTheme="majorHAnsi" w:hAnsiTheme="majorHAnsi" w:cstheme="majorHAnsi"/>
          <w:sz w:val="24"/>
          <w:szCs w:val="24"/>
        </w:rPr>
        <w:t xml:space="preserve">Además, refuerza su compromiso con el cuidado de ese recurso a través de su porfolio de soluciones biológicas e innovaciones como </w:t>
      </w:r>
      <w:proofErr w:type="spellStart"/>
      <w:r w:rsidRPr="00D22E0F">
        <w:rPr>
          <w:rFonts w:asciiTheme="majorHAnsi" w:hAnsiTheme="majorHAnsi" w:cstheme="majorHAnsi"/>
          <w:sz w:val="24"/>
          <w:szCs w:val="24"/>
        </w:rPr>
        <w:t>Authence</w:t>
      </w:r>
      <w:proofErr w:type="spellEnd"/>
      <w:r w:rsidRPr="00D22E0F">
        <w:rPr>
          <w:rFonts w:asciiTheme="majorHAnsi" w:hAnsiTheme="majorHAnsi" w:cstheme="majorHAnsi"/>
          <w:sz w:val="24"/>
          <w:szCs w:val="24"/>
        </w:rPr>
        <w:t xml:space="preserve">®, con tecnología VIRESTINA™, su nuevo herbicida selectivo para malezas gramíneas resistentes, que se descompone rápidamente en el suelo y contribuye a reducir la huella ambiental. </w:t>
      </w:r>
    </w:p>
    <w:p w14:paraId="758D48A4" w14:textId="77777777" w:rsidR="00D22E0F" w:rsidRPr="00D22E0F" w:rsidRDefault="00D22E0F" w:rsidP="00D22E0F">
      <w:pPr>
        <w:pStyle w:val="Textoindependiente"/>
        <w:spacing w:line="276" w:lineRule="auto"/>
        <w:jc w:val="both"/>
        <w:rPr>
          <w:rFonts w:asciiTheme="majorHAnsi" w:hAnsiTheme="majorHAnsi" w:cstheme="majorHAnsi"/>
          <w:sz w:val="24"/>
          <w:szCs w:val="24"/>
        </w:rPr>
      </w:pPr>
    </w:p>
    <w:p w14:paraId="4828B137" w14:textId="7F5111CE" w:rsidR="00D22E0F" w:rsidRPr="00D22E0F" w:rsidRDefault="00D22E0F" w:rsidP="00D22E0F">
      <w:pPr>
        <w:pStyle w:val="Textoindependiente"/>
        <w:spacing w:line="276" w:lineRule="auto"/>
        <w:jc w:val="both"/>
        <w:rPr>
          <w:rFonts w:asciiTheme="majorHAnsi" w:hAnsiTheme="majorHAnsi" w:cstheme="majorHAnsi"/>
          <w:sz w:val="24"/>
          <w:szCs w:val="24"/>
        </w:rPr>
      </w:pPr>
      <w:r w:rsidRPr="00D22E0F">
        <w:rPr>
          <w:rFonts w:asciiTheme="majorHAnsi" w:hAnsiTheme="majorHAnsi" w:cstheme="majorHAnsi"/>
          <w:sz w:val="24"/>
          <w:szCs w:val="24"/>
        </w:rPr>
        <w:t xml:space="preserve">Syngenta, compañía líder en tecnología agrícola basada en ciencia, participa del 34° Congreso </w:t>
      </w:r>
      <w:proofErr w:type="spellStart"/>
      <w:r w:rsidRPr="00D22E0F">
        <w:rPr>
          <w:rFonts w:asciiTheme="majorHAnsi" w:hAnsiTheme="majorHAnsi" w:cstheme="majorHAnsi"/>
          <w:sz w:val="24"/>
          <w:szCs w:val="24"/>
        </w:rPr>
        <w:t>Aapresid</w:t>
      </w:r>
      <w:proofErr w:type="spellEnd"/>
      <w:r w:rsidRPr="00D22E0F">
        <w:rPr>
          <w:rFonts w:asciiTheme="majorHAnsi" w:hAnsiTheme="majorHAnsi" w:cstheme="majorHAnsi"/>
          <w:sz w:val="24"/>
          <w:szCs w:val="24"/>
        </w:rPr>
        <w:t xml:space="preserve"> con el objetivo de impulsar el cuidado y la salud del suelo. En línea con el lema del encuentro de este año, “Nuestro suelo, Nuestra voz”, ofrece soluciones y tecnologías orientadas a incrementar la precisión en la medición y regeneración de este recurso, además de acercar a los productores herramientas para implementar prácticas regenerativas y sostenibles. </w:t>
      </w:r>
    </w:p>
    <w:p w14:paraId="5C236BB6" w14:textId="77777777" w:rsidR="00D22E0F" w:rsidRPr="00D22E0F" w:rsidRDefault="00D22E0F" w:rsidP="00D22E0F">
      <w:pPr>
        <w:pStyle w:val="Textoindependiente"/>
        <w:spacing w:line="276" w:lineRule="auto"/>
        <w:jc w:val="both"/>
        <w:rPr>
          <w:rFonts w:asciiTheme="majorHAnsi" w:hAnsiTheme="majorHAnsi" w:cstheme="majorHAnsi"/>
          <w:sz w:val="24"/>
          <w:szCs w:val="24"/>
        </w:rPr>
      </w:pPr>
    </w:p>
    <w:p w14:paraId="55E81210" w14:textId="77777777" w:rsidR="00D22E0F" w:rsidRPr="00D22E0F" w:rsidRDefault="00D22E0F" w:rsidP="00D22E0F">
      <w:pPr>
        <w:pStyle w:val="Textoindependiente"/>
        <w:shd w:val="clear" w:color="auto" w:fill="FFFFFF" w:themeFill="background1"/>
        <w:spacing w:before="60" w:after="0" w:line="276" w:lineRule="auto"/>
        <w:jc w:val="both"/>
        <w:rPr>
          <w:rFonts w:asciiTheme="majorHAnsi" w:hAnsiTheme="majorHAnsi" w:cstheme="majorHAnsi"/>
          <w:sz w:val="24"/>
          <w:szCs w:val="24"/>
        </w:rPr>
      </w:pPr>
      <w:r w:rsidRPr="00D22E0F">
        <w:rPr>
          <w:rFonts w:asciiTheme="majorHAnsi" w:hAnsiTheme="majorHAnsi" w:cstheme="majorHAnsi"/>
          <w:sz w:val="24"/>
          <w:szCs w:val="24"/>
        </w:rPr>
        <w:t xml:space="preserve">Frente a los crecientes desafíos que afectan la salud del suelo -desde la pérdida de nutrientes y carbono hasta el deterioro de su estructura y actividad biológica-, Syngenta promueve un abordaje integral que combina innovación, conocimiento técnico y trabajo colaborativo. En ese marco, junto con </w:t>
      </w:r>
      <w:proofErr w:type="spellStart"/>
      <w:r w:rsidRPr="00D22E0F">
        <w:rPr>
          <w:rFonts w:asciiTheme="majorHAnsi" w:hAnsiTheme="majorHAnsi" w:cstheme="majorHAnsi"/>
          <w:sz w:val="24"/>
          <w:szCs w:val="24"/>
        </w:rPr>
        <w:t>Aapresid</w:t>
      </w:r>
      <w:proofErr w:type="spellEnd"/>
      <w:r w:rsidRPr="00D22E0F">
        <w:rPr>
          <w:rFonts w:asciiTheme="majorHAnsi" w:hAnsiTheme="majorHAnsi" w:cstheme="majorHAnsi"/>
          <w:sz w:val="24"/>
          <w:szCs w:val="24"/>
        </w:rPr>
        <w:t xml:space="preserve">, INTA y la Secretaría de Agricultura, Ganadería y Pesca, presenta la </w:t>
      </w:r>
      <w:r w:rsidRPr="00D22E0F">
        <w:rPr>
          <w:rFonts w:asciiTheme="majorHAnsi" w:hAnsiTheme="majorHAnsi" w:cstheme="majorHAnsi"/>
          <w:i/>
          <w:iCs/>
          <w:sz w:val="24"/>
          <w:szCs w:val="24"/>
        </w:rPr>
        <w:t>Guía técnica para la recuperación de suelos degradados</w:t>
      </w:r>
      <w:r w:rsidRPr="00D22E0F">
        <w:rPr>
          <w:rFonts w:asciiTheme="majorHAnsi" w:hAnsiTheme="majorHAnsi" w:cstheme="majorHAnsi"/>
          <w:sz w:val="24"/>
          <w:szCs w:val="24"/>
        </w:rPr>
        <w:t xml:space="preserve">, una herramienta práctica que estará disponible online de forma gratuita para su consulta, elaborada para acompañar a productores y asesores en la toma de decisiones para recuperar y sostener el potencial del suelo en distintos sistemas productivos. </w:t>
      </w:r>
    </w:p>
    <w:p w14:paraId="4309CDB3" w14:textId="77777777" w:rsidR="00D22E0F" w:rsidRPr="00D22E0F" w:rsidRDefault="00D22E0F" w:rsidP="00D22E0F">
      <w:pPr>
        <w:pStyle w:val="Textoindependiente"/>
        <w:shd w:val="clear" w:color="auto" w:fill="FFFFFF" w:themeFill="background1"/>
        <w:spacing w:before="60" w:after="0" w:line="276" w:lineRule="auto"/>
        <w:jc w:val="both"/>
        <w:rPr>
          <w:rFonts w:asciiTheme="majorHAnsi" w:hAnsiTheme="majorHAnsi" w:cstheme="majorHAnsi"/>
          <w:sz w:val="24"/>
          <w:szCs w:val="24"/>
          <w:highlight w:val="yellow"/>
        </w:rPr>
      </w:pPr>
    </w:p>
    <w:p w14:paraId="6A25165B" w14:textId="77777777" w:rsidR="00D22E0F" w:rsidRPr="00D22E0F" w:rsidRDefault="00D22E0F" w:rsidP="00D22E0F">
      <w:pPr>
        <w:shd w:val="clear" w:color="auto" w:fill="FFFFFF" w:themeFill="background1"/>
        <w:jc w:val="both"/>
        <w:rPr>
          <w:rFonts w:asciiTheme="majorHAnsi" w:hAnsiTheme="majorHAnsi" w:cstheme="majorHAnsi"/>
          <w:sz w:val="24"/>
          <w:szCs w:val="24"/>
        </w:rPr>
      </w:pPr>
      <w:r w:rsidRPr="00D22E0F">
        <w:rPr>
          <w:rFonts w:asciiTheme="majorHAnsi" w:hAnsiTheme="majorHAnsi" w:cstheme="majorHAnsi"/>
          <w:sz w:val="24"/>
          <w:szCs w:val="24"/>
        </w:rPr>
        <w:t xml:space="preserve">Además, impulsa el programa </w:t>
      </w:r>
      <w:proofErr w:type="spellStart"/>
      <w:r w:rsidRPr="00D22E0F">
        <w:rPr>
          <w:rFonts w:asciiTheme="majorHAnsi" w:hAnsiTheme="majorHAnsi" w:cstheme="majorHAnsi"/>
          <w:sz w:val="24"/>
          <w:szCs w:val="24"/>
        </w:rPr>
        <w:t>Soil</w:t>
      </w:r>
      <w:proofErr w:type="spellEnd"/>
      <w:r w:rsidRPr="00D22E0F">
        <w:rPr>
          <w:rFonts w:asciiTheme="majorHAnsi" w:hAnsiTheme="majorHAnsi" w:cstheme="majorHAnsi"/>
          <w:sz w:val="24"/>
          <w:szCs w:val="24"/>
        </w:rPr>
        <w:t xml:space="preserve"> Data </w:t>
      </w:r>
      <w:proofErr w:type="spellStart"/>
      <w:r w:rsidRPr="00D22E0F">
        <w:rPr>
          <w:rFonts w:asciiTheme="majorHAnsi" w:hAnsiTheme="majorHAnsi" w:cstheme="majorHAnsi"/>
          <w:sz w:val="24"/>
          <w:szCs w:val="24"/>
        </w:rPr>
        <w:t>Fusion</w:t>
      </w:r>
      <w:proofErr w:type="spellEnd"/>
      <w:r w:rsidRPr="00D22E0F">
        <w:rPr>
          <w:rFonts w:asciiTheme="majorHAnsi" w:hAnsiTheme="majorHAnsi" w:cstheme="majorHAnsi"/>
          <w:sz w:val="24"/>
          <w:szCs w:val="24"/>
        </w:rPr>
        <w:t xml:space="preserve">, que busca contribuir a un uso óptimo de recursos y fomentar la implementación de prácticas sustentables. Se trata de un servicio basado en una plataforma de diagnóstico avanzado, que integra múltiples capas de información, incluyendo datos satelitales vía sensores remotos, mediciones a campo y resultados de análisis químicos de muestras de suelo. A través del uso de herramientas de IA, genera mapas de salud del suelo de alta resolución que favorecen la identificación de los factores que limitan el potencial de cada ambiente y, a partir de ese análisis, se obtienen recomendaciones para la aplicación variable de insumos. </w:t>
      </w:r>
    </w:p>
    <w:p w14:paraId="2BD78218" w14:textId="77777777" w:rsidR="00D22E0F" w:rsidRPr="00D22E0F" w:rsidRDefault="00D22E0F" w:rsidP="00D22E0F">
      <w:pPr>
        <w:shd w:val="clear" w:color="auto" w:fill="FFFFFF" w:themeFill="background1"/>
        <w:jc w:val="both"/>
        <w:rPr>
          <w:rFonts w:asciiTheme="majorHAnsi" w:hAnsiTheme="majorHAnsi" w:cstheme="majorHAnsi"/>
          <w:sz w:val="24"/>
          <w:szCs w:val="24"/>
          <w:highlight w:val="yellow"/>
        </w:rPr>
      </w:pPr>
    </w:p>
    <w:p w14:paraId="05A68ED1" w14:textId="77777777" w:rsidR="00D22E0F" w:rsidRPr="00D22E0F" w:rsidRDefault="00D22E0F" w:rsidP="00D22E0F">
      <w:pPr>
        <w:shd w:val="clear" w:color="auto" w:fill="FFFFFF" w:themeFill="background1"/>
        <w:jc w:val="both"/>
        <w:rPr>
          <w:rFonts w:asciiTheme="majorHAnsi" w:hAnsiTheme="majorHAnsi" w:cstheme="majorHAnsi"/>
          <w:b/>
          <w:sz w:val="24"/>
          <w:szCs w:val="24"/>
        </w:rPr>
      </w:pPr>
    </w:p>
    <w:p w14:paraId="61C18EF6" w14:textId="77777777" w:rsidR="00D22E0F" w:rsidRPr="00D22E0F" w:rsidRDefault="00D22E0F" w:rsidP="00D22E0F">
      <w:pPr>
        <w:shd w:val="clear" w:color="auto" w:fill="FFFFFF" w:themeFill="background1"/>
        <w:jc w:val="both"/>
        <w:rPr>
          <w:rFonts w:asciiTheme="majorHAnsi" w:hAnsiTheme="majorHAnsi" w:cstheme="majorHAnsi"/>
          <w:b/>
          <w:bCs/>
          <w:sz w:val="24"/>
          <w:szCs w:val="24"/>
        </w:rPr>
      </w:pPr>
      <w:r w:rsidRPr="00D22E0F">
        <w:rPr>
          <w:rFonts w:asciiTheme="majorHAnsi" w:hAnsiTheme="majorHAnsi" w:cstheme="majorHAnsi"/>
          <w:b/>
          <w:bCs/>
          <w:sz w:val="24"/>
          <w:szCs w:val="24"/>
        </w:rPr>
        <w:t xml:space="preserve">Mayor rendimiento, menor impacto </w:t>
      </w:r>
    </w:p>
    <w:p w14:paraId="5996658F" w14:textId="77777777" w:rsidR="00D22E0F" w:rsidRPr="00D22E0F" w:rsidRDefault="00D22E0F" w:rsidP="00D22E0F">
      <w:pPr>
        <w:shd w:val="clear" w:color="auto" w:fill="FFFFFF" w:themeFill="background1"/>
        <w:jc w:val="both"/>
        <w:rPr>
          <w:rFonts w:asciiTheme="majorHAnsi" w:hAnsiTheme="majorHAnsi" w:cstheme="majorHAnsi"/>
          <w:sz w:val="24"/>
          <w:szCs w:val="24"/>
        </w:rPr>
      </w:pPr>
    </w:p>
    <w:p w14:paraId="79C2F1E4" w14:textId="77777777" w:rsidR="00D22E0F" w:rsidRPr="00D22E0F" w:rsidRDefault="00D22E0F" w:rsidP="00D22E0F">
      <w:pPr>
        <w:shd w:val="clear" w:color="auto" w:fill="FFFFFF" w:themeFill="background1"/>
        <w:jc w:val="both"/>
        <w:rPr>
          <w:rFonts w:asciiTheme="majorHAnsi" w:hAnsiTheme="majorHAnsi" w:cstheme="majorHAnsi"/>
          <w:sz w:val="24"/>
          <w:szCs w:val="24"/>
        </w:rPr>
      </w:pPr>
      <w:r w:rsidRPr="00D22E0F">
        <w:rPr>
          <w:rFonts w:asciiTheme="majorHAnsi" w:hAnsiTheme="majorHAnsi" w:cstheme="majorHAnsi"/>
          <w:sz w:val="24"/>
          <w:szCs w:val="24"/>
        </w:rPr>
        <w:t xml:space="preserve">El perfil sustentable de las soluciones de Syngenta contribuye también al cuidado del suelo. Recientemente lanzado en Argentina, </w:t>
      </w:r>
      <w:proofErr w:type="spellStart"/>
      <w:r w:rsidRPr="00D22E0F">
        <w:rPr>
          <w:rFonts w:asciiTheme="majorHAnsi" w:hAnsiTheme="majorHAnsi" w:cstheme="majorHAnsi"/>
          <w:sz w:val="24"/>
          <w:szCs w:val="24"/>
        </w:rPr>
        <w:t>Authence</w:t>
      </w:r>
      <w:proofErr w:type="spellEnd"/>
      <w:r w:rsidRPr="00D22E0F">
        <w:rPr>
          <w:rFonts w:asciiTheme="majorHAnsi" w:hAnsiTheme="majorHAnsi" w:cstheme="majorHAnsi"/>
          <w:sz w:val="24"/>
          <w:szCs w:val="24"/>
        </w:rPr>
        <w:t xml:space="preserve">®, con tecnología VIRESTINA™, es un herbicida selectivo para el control de gramíneas resistentes en cultivos como soja y algodón y, en aplicaciones </w:t>
      </w:r>
      <w:proofErr w:type="spellStart"/>
      <w:r w:rsidRPr="00D22E0F">
        <w:rPr>
          <w:rFonts w:asciiTheme="majorHAnsi" w:hAnsiTheme="majorHAnsi" w:cstheme="majorHAnsi"/>
          <w:sz w:val="24"/>
          <w:szCs w:val="24"/>
        </w:rPr>
        <w:t>pre-siembra</w:t>
      </w:r>
      <w:proofErr w:type="spellEnd"/>
      <w:r w:rsidRPr="00D22E0F">
        <w:rPr>
          <w:rFonts w:asciiTheme="majorHAnsi" w:hAnsiTheme="majorHAnsi" w:cstheme="majorHAnsi"/>
          <w:sz w:val="24"/>
          <w:szCs w:val="24"/>
        </w:rPr>
        <w:t>, en cereales y maíz. Se descompone rápidamente en el suelo, ofrece un sólido perfil de seguridad y contribuye a reducir la huella ambiental. Puede brindar mayor flexibilidad para rotaciones y cultivos de cobertura y, por su eficacia, puede reducir pasadas de maquinaria, contribuyendo a una menor compactación del suelo y emisiones.</w:t>
      </w:r>
    </w:p>
    <w:p w14:paraId="46C6BAF4" w14:textId="77777777" w:rsidR="00D22E0F" w:rsidRPr="00D22E0F" w:rsidRDefault="00D22E0F" w:rsidP="00D22E0F">
      <w:pPr>
        <w:shd w:val="clear" w:color="auto" w:fill="FFFFFF" w:themeFill="background1"/>
        <w:jc w:val="both"/>
        <w:rPr>
          <w:rFonts w:asciiTheme="majorHAnsi" w:hAnsiTheme="majorHAnsi" w:cstheme="majorHAnsi"/>
          <w:sz w:val="24"/>
          <w:szCs w:val="24"/>
        </w:rPr>
      </w:pPr>
    </w:p>
    <w:p w14:paraId="50FEF7AF" w14:textId="77777777" w:rsidR="00D22E0F" w:rsidRPr="00D22E0F" w:rsidRDefault="00D22E0F" w:rsidP="00D22E0F">
      <w:pPr>
        <w:shd w:val="clear" w:color="auto" w:fill="FFFFFF" w:themeFill="background1"/>
        <w:jc w:val="both"/>
        <w:rPr>
          <w:rFonts w:asciiTheme="majorHAnsi" w:eastAsiaTheme="minorHAnsi" w:hAnsiTheme="majorHAnsi" w:cstheme="majorHAnsi"/>
          <w:sz w:val="24"/>
          <w:szCs w:val="24"/>
        </w:rPr>
      </w:pPr>
      <w:r w:rsidRPr="00D22E0F">
        <w:rPr>
          <w:rFonts w:asciiTheme="majorHAnsi" w:hAnsiTheme="majorHAnsi" w:cstheme="majorHAnsi"/>
          <w:sz w:val="24"/>
          <w:szCs w:val="24"/>
        </w:rPr>
        <w:t xml:space="preserve">Además, estará presente el porfolio de Syngenta </w:t>
      </w:r>
      <w:proofErr w:type="spellStart"/>
      <w:r w:rsidRPr="00D22E0F">
        <w:rPr>
          <w:rFonts w:asciiTheme="majorHAnsi" w:hAnsiTheme="majorHAnsi" w:cstheme="majorHAnsi"/>
          <w:sz w:val="24"/>
          <w:szCs w:val="24"/>
        </w:rPr>
        <w:t>Biologicals</w:t>
      </w:r>
      <w:proofErr w:type="spellEnd"/>
      <w:r w:rsidRPr="00D22E0F">
        <w:rPr>
          <w:rFonts w:asciiTheme="majorHAnsi" w:hAnsiTheme="majorHAnsi" w:cstheme="majorHAnsi"/>
          <w:sz w:val="24"/>
          <w:szCs w:val="24"/>
        </w:rPr>
        <w:t xml:space="preserve"> que, bajo el lema ‘Ciencia que nace de la naturaleza’, suma soluciones que complementan este enfoque integral y aportan a la actividad biológica del suelo. Los </w:t>
      </w:r>
      <w:proofErr w:type="spellStart"/>
      <w:r w:rsidRPr="00D22E0F">
        <w:rPr>
          <w:rFonts w:asciiTheme="majorHAnsi" w:hAnsiTheme="majorHAnsi" w:cstheme="majorHAnsi"/>
          <w:sz w:val="24"/>
          <w:szCs w:val="24"/>
        </w:rPr>
        <w:t>bioestimulantes</w:t>
      </w:r>
      <w:proofErr w:type="spellEnd"/>
      <w:r w:rsidRPr="00D22E0F">
        <w:rPr>
          <w:rFonts w:asciiTheme="majorHAnsi" w:hAnsiTheme="majorHAnsi" w:cstheme="majorHAnsi"/>
          <w:sz w:val="24"/>
          <w:szCs w:val="24"/>
        </w:rPr>
        <w:t xml:space="preserve"> y las soluciones de control biológico que ofrece están diseñados con una rigurosa base científica, ensayos y validación a campo que respaldan su eficacia y consistencia. Al estimular la vida microbiana, favorecer el desarrollo radicular y mejorar el aprovechamiento de nutrientes, estas soluciones fortalecen la fertilidad biológica del suelo, potencian el desempeño de los cultivos y contribuyen a un modelo productivo más sostenible y resiliente.</w:t>
      </w:r>
    </w:p>
    <w:p w14:paraId="6070D4A1" w14:textId="77777777" w:rsidR="00D22E0F" w:rsidRPr="00D22E0F" w:rsidRDefault="00D22E0F" w:rsidP="00D22E0F">
      <w:pPr>
        <w:shd w:val="clear" w:color="auto" w:fill="FFFFFF" w:themeFill="background1"/>
        <w:jc w:val="both"/>
        <w:rPr>
          <w:rFonts w:asciiTheme="majorHAnsi" w:hAnsiTheme="majorHAnsi" w:cstheme="majorHAnsi"/>
          <w:b/>
          <w:bCs/>
          <w:sz w:val="24"/>
          <w:szCs w:val="24"/>
        </w:rPr>
      </w:pPr>
    </w:p>
    <w:p w14:paraId="639A1F72" w14:textId="77777777" w:rsidR="00D22E0F" w:rsidRPr="00D22E0F" w:rsidRDefault="00D22E0F" w:rsidP="00D22E0F">
      <w:pPr>
        <w:shd w:val="clear" w:color="auto" w:fill="FFFFFF" w:themeFill="background1"/>
        <w:jc w:val="both"/>
        <w:rPr>
          <w:rFonts w:asciiTheme="majorHAnsi" w:hAnsiTheme="majorHAnsi" w:cstheme="majorHAnsi"/>
          <w:b/>
          <w:bCs/>
          <w:sz w:val="24"/>
          <w:szCs w:val="24"/>
        </w:rPr>
      </w:pPr>
      <w:r w:rsidRPr="00D22E0F">
        <w:rPr>
          <w:rFonts w:asciiTheme="majorHAnsi" w:hAnsiTheme="majorHAnsi" w:cstheme="majorHAnsi"/>
          <w:b/>
          <w:bCs/>
          <w:sz w:val="24"/>
          <w:szCs w:val="24"/>
        </w:rPr>
        <w:t xml:space="preserve">Agenda de actividades </w:t>
      </w:r>
    </w:p>
    <w:p w14:paraId="2AB53507" w14:textId="77777777" w:rsidR="00D22E0F" w:rsidRPr="00D22E0F" w:rsidRDefault="00D22E0F" w:rsidP="00D22E0F">
      <w:pPr>
        <w:shd w:val="clear" w:color="auto" w:fill="FFFFFF" w:themeFill="background1"/>
        <w:jc w:val="both"/>
        <w:rPr>
          <w:rFonts w:asciiTheme="majorHAnsi" w:hAnsiTheme="majorHAnsi" w:cstheme="majorHAnsi"/>
          <w:sz w:val="24"/>
          <w:szCs w:val="24"/>
        </w:rPr>
      </w:pPr>
      <w:r w:rsidRPr="00D22E0F">
        <w:rPr>
          <w:rFonts w:asciiTheme="majorHAnsi" w:hAnsiTheme="majorHAnsi" w:cstheme="majorHAnsi"/>
          <w:sz w:val="24"/>
          <w:szCs w:val="24"/>
        </w:rPr>
        <w:t xml:space="preserve">Syngenta participa en el 34° Congreso </w:t>
      </w:r>
      <w:proofErr w:type="spellStart"/>
      <w:r w:rsidRPr="00D22E0F">
        <w:rPr>
          <w:rFonts w:asciiTheme="majorHAnsi" w:hAnsiTheme="majorHAnsi" w:cstheme="majorHAnsi"/>
          <w:sz w:val="24"/>
          <w:szCs w:val="24"/>
        </w:rPr>
        <w:t>Aapresid</w:t>
      </w:r>
      <w:proofErr w:type="spellEnd"/>
      <w:r w:rsidRPr="00D22E0F">
        <w:rPr>
          <w:rFonts w:asciiTheme="majorHAnsi" w:hAnsiTheme="majorHAnsi" w:cstheme="majorHAnsi"/>
          <w:sz w:val="24"/>
          <w:szCs w:val="24"/>
        </w:rPr>
        <w:t xml:space="preserve"> con una agenda que contempla distintas charlas y actividades: </w:t>
      </w:r>
    </w:p>
    <w:p w14:paraId="04C01481" w14:textId="77777777" w:rsidR="00D22E0F" w:rsidRPr="00D22E0F" w:rsidRDefault="00D22E0F" w:rsidP="00D22E0F">
      <w:pPr>
        <w:pStyle w:val="Prrafodelista"/>
        <w:numPr>
          <w:ilvl w:val="0"/>
          <w:numId w:val="3"/>
        </w:numPr>
        <w:shd w:val="clear" w:color="auto" w:fill="FFFFFF" w:themeFill="background1"/>
        <w:spacing w:line="276" w:lineRule="auto"/>
        <w:jc w:val="both"/>
        <w:rPr>
          <w:rFonts w:asciiTheme="majorHAnsi" w:hAnsiTheme="majorHAnsi" w:cstheme="majorHAnsi"/>
          <w:sz w:val="24"/>
          <w:szCs w:val="24"/>
        </w:rPr>
      </w:pPr>
      <w:r w:rsidRPr="00D22E0F">
        <w:rPr>
          <w:rFonts w:asciiTheme="majorHAnsi" w:hAnsiTheme="majorHAnsi" w:cstheme="majorHAnsi"/>
          <w:b/>
          <w:bCs/>
          <w:sz w:val="24"/>
          <w:szCs w:val="24"/>
        </w:rPr>
        <w:t xml:space="preserve">Martes 4 de agosto, 16:15 </w:t>
      </w:r>
      <w:proofErr w:type="spellStart"/>
      <w:r w:rsidRPr="00D22E0F">
        <w:rPr>
          <w:rFonts w:asciiTheme="majorHAnsi" w:hAnsiTheme="majorHAnsi" w:cstheme="majorHAnsi"/>
          <w:b/>
          <w:bCs/>
          <w:sz w:val="24"/>
          <w:szCs w:val="24"/>
        </w:rPr>
        <w:t>hs</w:t>
      </w:r>
      <w:proofErr w:type="spellEnd"/>
      <w:r w:rsidRPr="00D22E0F">
        <w:rPr>
          <w:rFonts w:asciiTheme="majorHAnsi" w:hAnsiTheme="majorHAnsi" w:cstheme="majorHAnsi"/>
          <w:b/>
          <w:bCs/>
          <w:sz w:val="24"/>
          <w:szCs w:val="24"/>
        </w:rPr>
        <w:t>:</w:t>
      </w:r>
      <w:r w:rsidRPr="00D22E0F">
        <w:rPr>
          <w:rFonts w:asciiTheme="majorHAnsi" w:hAnsiTheme="majorHAnsi" w:cstheme="majorHAnsi"/>
          <w:sz w:val="24"/>
          <w:szCs w:val="24"/>
        </w:rPr>
        <w:t xml:space="preserve"> "Fungicidas en maíz: cómo tomar las mejores decisiones", Ramiro de Zabaleta (sala Syngenta). </w:t>
      </w:r>
    </w:p>
    <w:p w14:paraId="57DF4CDD" w14:textId="77777777" w:rsidR="00D22E0F" w:rsidRPr="00D22E0F" w:rsidRDefault="00D22E0F" w:rsidP="00D22E0F">
      <w:pPr>
        <w:pStyle w:val="Prrafodelista"/>
        <w:numPr>
          <w:ilvl w:val="0"/>
          <w:numId w:val="3"/>
        </w:numPr>
        <w:shd w:val="clear" w:color="auto" w:fill="FFFFFF" w:themeFill="background1"/>
        <w:spacing w:line="276" w:lineRule="auto"/>
        <w:jc w:val="both"/>
        <w:rPr>
          <w:rFonts w:asciiTheme="majorHAnsi" w:hAnsiTheme="majorHAnsi" w:cstheme="majorHAnsi"/>
          <w:sz w:val="24"/>
          <w:szCs w:val="24"/>
        </w:rPr>
      </w:pPr>
      <w:r w:rsidRPr="00D22E0F">
        <w:rPr>
          <w:rFonts w:asciiTheme="majorHAnsi" w:hAnsiTheme="majorHAnsi" w:cstheme="majorHAnsi"/>
          <w:b/>
          <w:bCs/>
          <w:sz w:val="24"/>
          <w:szCs w:val="24"/>
        </w:rPr>
        <w:t xml:space="preserve">Miércoles 5 de agosto, 11 </w:t>
      </w:r>
      <w:proofErr w:type="spellStart"/>
      <w:r w:rsidRPr="00D22E0F">
        <w:rPr>
          <w:rFonts w:asciiTheme="majorHAnsi" w:hAnsiTheme="majorHAnsi" w:cstheme="majorHAnsi"/>
          <w:b/>
          <w:bCs/>
          <w:sz w:val="24"/>
          <w:szCs w:val="24"/>
        </w:rPr>
        <w:t>hs</w:t>
      </w:r>
      <w:proofErr w:type="spellEnd"/>
      <w:r w:rsidRPr="00D22E0F">
        <w:rPr>
          <w:rFonts w:asciiTheme="majorHAnsi" w:hAnsiTheme="majorHAnsi" w:cstheme="majorHAnsi"/>
          <w:b/>
          <w:bCs/>
          <w:sz w:val="24"/>
          <w:szCs w:val="24"/>
        </w:rPr>
        <w:t>:</w:t>
      </w:r>
      <w:r w:rsidRPr="00D22E0F">
        <w:rPr>
          <w:rFonts w:asciiTheme="majorHAnsi" w:hAnsiTheme="majorHAnsi" w:cstheme="majorHAnsi"/>
          <w:sz w:val="24"/>
          <w:szCs w:val="24"/>
        </w:rPr>
        <w:t xml:space="preserve"> “Del diagnóstico a la acción: innovación para mejorar la salud del suelo” -presentación de la </w:t>
      </w:r>
      <w:r w:rsidRPr="00D22E0F">
        <w:rPr>
          <w:rFonts w:asciiTheme="majorHAnsi" w:hAnsiTheme="majorHAnsi" w:cstheme="majorHAnsi"/>
          <w:i/>
          <w:iCs/>
          <w:sz w:val="24"/>
          <w:szCs w:val="24"/>
        </w:rPr>
        <w:t>Guía técnica para la recuperación de suelos degradados</w:t>
      </w:r>
      <w:r w:rsidRPr="00D22E0F">
        <w:rPr>
          <w:rFonts w:asciiTheme="majorHAnsi" w:hAnsiTheme="majorHAnsi" w:cstheme="majorHAnsi"/>
          <w:sz w:val="24"/>
          <w:szCs w:val="24"/>
        </w:rPr>
        <w:t xml:space="preserve">, en colaboración con </w:t>
      </w:r>
      <w:proofErr w:type="spellStart"/>
      <w:r w:rsidRPr="00D22E0F">
        <w:rPr>
          <w:rFonts w:asciiTheme="majorHAnsi" w:hAnsiTheme="majorHAnsi" w:cstheme="majorHAnsi"/>
          <w:sz w:val="24"/>
          <w:szCs w:val="24"/>
        </w:rPr>
        <w:t>Aapresid</w:t>
      </w:r>
      <w:proofErr w:type="spellEnd"/>
      <w:r w:rsidRPr="00D22E0F">
        <w:rPr>
          <w:rFonts w:asciiTheme="majorHAnsi" w:hAnsiTheme="majorHAnsi" w:cstheme="majorHAnsi"/>
          <w:sz w:val="24"/>
          <w:szCs w:val="24"/>
        </w:rPr>
        <w:t xml:space="preserve">, INTA y la Secretaría de Agricultura, Ganadería y Pesca; y del programa </w:t>
      </w:r>
      <w:proofErr w:type="spellStart"/>
      <w:r w:rsidRPr="00D22E0F">
        <w:rPr>
          <w:rFonts w:asciiTheme="majorHAnsi" w:hAnsiTheme="majorHAnsi" w:cstheme="majorHAnsi"/>
          <w:sz w:val="24"/>
          <w:szCs w:val="24"/>
        </w:rPr>
        <w:t>Soil</w:t>
      </w:r>
      <w:proofErr w:type="spellEnd"/>
      <w:r w:rsidRPr="00D22E0F">
        <w:rPr>
          <w:rFonts w:asciiTheme="majorHAnsi" w:hAnsiTheme="majorHAnsi" w:cstheme="majorHAnsi"/>
          <w:sz w:val="24"/>
          <w:szCs w:val="24"/>
        </w:rPr>
        <w:t xml:space="preserve"> Data </w:t>
      </w:r>
      <w:proofErr w:type="spellStart"/>
      <w:r w:rsidRPr="00D22E0F">
        <w:rPr>
          <w:rFonts w:asciiTheme="majorHAnsi" w:hAnsiTheme="majorHAnsi" w:cstheme="majorHAnsi"/>
          <w:sz w:val="24"/>
          <w:szCs w:val="24"/>
        </w:rPr>
        <w:t>Fusion</w:t>
      </w:r>
      <w:proofErr w:type="spellEnd"/>
      <w:r w:rsidRPr="00D22E0F">
        <w:rPr>
          <w:rFonts w:asciiTheme="majorHAnsi" w:hAnsiTheme="majorHAnsi" w:cstheme="majorHAnsi"/>
          <w:sz w:val="24"/>
          <w:szCs w:val="24"/>
        </w:rPr>
        <w:t xml:space="preserve">. (Stand Syngenta) </w:t>
      </w:r>
    </w:p>
    <w:p w14:paraId="2C949660" w14:textId="77777777" w:rsidR="00D22E0F" w:rsidRPr="00D22E0F" w:rsidRDefault="00D22E0F" w:rsidP="00D22E0F">
      <w:pPr>
        <w:pStyle w:val="Prrafodelista"/>
        <w:numPr>
          <w:ilvl w:val="0"/>
          <w:numId w:val="3"/>
        </w:numPr>
        <w:shd w:val="clear" w:color="auto" w:fill="FFFFFF" w:themeFill="background1"/>
        <w:spacing w:line="276" w:lineRule="auto"/>
        <w:jc w:val="both"/>
        <w:rPr>
          <w:rFonts w:asciiTheme="majorHAnsi" w:hAnsiTheme="majorHAnsi" w:cstheme="majorHAnsi"/>
          <w:sz w:val="24"/>
          <w:szCs w:val="24"/>
        </w:rPr>
      </w:pPr>
      <w:r w:rsidRPr="00D22E0F">
        <w:rPr>
          <w:rFonts w:asciiTheme="majorHAnsi" w:hAnsiTheme="majorHAnsi" w:cstheme="majorHAnsi"/>
          <w:b/>
          <w:bCs/>
          <w:sz w:val="24"/>
          <w:szCs w:val="24"/>
        </w:rPr>
        <w:t xml:space="preserve">Miércoles 5 de agosto, 14 </w:t>
      </w:r>
      <w:proofErr w:type="spellStart"/>
      <w:r w:rsidRPr="00D22E0F">
        <w:rPr>
          <w:rFonts w:asciiTheme="majorHAnsi" w:hAnsiTheme="majorHAnsi" w:cstheme="majorHAnsi"/>
          <w:b/>
          <w:bCs/>
          <w:sz w:val="24"/>
          <w:szCs w:val="24"/>
        </w:rPr>
        <w:t>hs</w:t>
      </w:r>
      <w:proofErr w:type="spellEnd"/>
      <w:r w:rsidRPr="00D22E0F">
        <w:rPr>
          <w:rFonts w:asciiTheme="majorHAnsi" w:hAnsiTheme="majorHAnsi" w:cstheme="majorHAnsi"/>
          <w:b/>
          <w:bCs/>
          <w:sz w:val="24"/>
          <w:szCs w:val="24"/>
        </w:rPr>
        <w:t xml:space="preserve">: </w:t>
      </w:r>
      <w:r w:rsidRPr="00D22E0F">
        <w:rPr>
          <w:rFonts w:asciiTheme="majorHAnsi" w:hAnsiTheme="majorHAnsi" w:cstheme="majorHAnsi"/>
          <w:sz w:val="24"/>
          <w:szCs w:val="24"/>
        </w:rPr>
        <w:t xml:space="preserve">Mesa por la Educación Agraria organizada por INET. </w:t>
      </w:r>
      <w:proofErr w:type="spellStart"/>
      <w:r w:rsidRPr="00D22E0F">
        <w:rPr>
          <w:rFonts w:asciiTheme="majorHAnsi" w:hAnsiTheme="majorHAnsi" w:cstheme="majorHAnsi"/>
          <w:sz w:val="24"/>
          <w:szCs w:val="24"/>
        </w:rPr>
        <w:t>Ivand</w:t>
      </w:r>
      <w:proofErr w:type="spellEnd"/>
      <w:r w:rsidRPr="00D22E0F">
        <w:rPr>
          <w:rFonts w:asciiTheme="majorHAnsi" w:hAnsiTheme="majorHAnsi" w:cstheme="majorHAnsi"/>
          <w:sz w:val="24"/>
          <w:szCs w:val="24"/>
        </w:rPr>
        <w:t xml:space="preserve"> </w:t>
      </w:r>
      <w:proofErr w:type="spellStart"/>
      <w:r w:rsidRPr="00D22E0F">
        <w:rPr>
          <w:rFonts w:asciiTheme="majorHAnsi" w:hAnsiTheme="majorHAnsi" w:cstheme="majorHAnsi"/>
          <w:sz w:val="24"/>
          <w:szCs w:val="24"/>
        </w:rPr>
        <w:t>Saban</w:t>
      </w:r>
      <w:proofErr w:type="spellEnd"/>
      <w:r w:rsidRPr="00D22E0F">
        <w:rPr>
          <w:rFonts w:asciiTheme="majorHAnsi" w:hAnsiTheme="majorHAnsi" w:cstheme="majorHAnsi"/>
          <w:sz w:val="24"/>
          <w:szCs w:val="24"/>
        </w:rPr>
        <w:t xml:space="preserve"> presenta SEMCIA®, la plataforma de vinculación y educación de Syngenta.</w:t>
      </w:r>
    </w:p>
    <w:p w14:paraId="5B599D6A" w14:textId="77777777" w:rsidR="00D22E0F" w:rsidRPr="00D22E0F" w:rsidRDefault="00D22E0F" w:rsidP="00D22E0F">
      <w:pPr>
        <w:pStyle w:val="Prrafodelista"/>
        <w:numPr>
          <w:ilvl w:val="0"/>
          <w:numId w:val="3"/>
        </w:numPr>
        <w:shd w:val="clear" w:color="auto" w:fill="FFFFFF" w:themeFill="background1"/>
        <w:spacing w:line="276" w:lineRule="auto"/>
        <w:jc w:val="both"/>
        <w:rPr>
          <w:rFonts w:asciiTheme="majorHAnsi" w:hAnsiTheme="majorHAnsi" w:cstheme="majorHAnsi"/>
          <w:sz w:val="24"/>
          <w:szCs w:val="24"/>
        </w:rPr>
      </w:pPr>
      <w:r w:rsidRPr="00D22E0F">
        <w:rPr>
          <w:rFonts w:asciiTheme="majorHAnsi" w:hAnsiTheme="majorHAnsi" w:cstheme="majorHAnsi"/>
          <w:b/>
          <w:bCs/>
          <w:sz w:val="24"/>
          <w:szCs w:val="24"/>
        </w:rPr>
        <w:t xml:space="preserve">Miércoles 5 de agosto, 15:45 </w:t>
      </w:r>
      <w:proofErr w:type="spellStart"/>
      <w:r w:rsidRPr="00D22E0F">
        <w:rPr>
          <w:rFonts w:asciiTheme="majorHAnsi" w:hAnsiTheme="majorHAnsi" w:cstheme="majorHAnsi"/>
          <w:b/>
          <w:bCs/>
          <w:sz w:val="24"/>
          <w:szCs w:val="24"/>
        </w:rPr>
        <w:t>hs</w:t>
      </w:r>
      <w:proofErr w:type="spellEnd"/>
      <w:r w:rsidRPr="00D22E0F">
        <w:rPr>
          <w:rFonts w:asciiTheme="majorHAnsi" w:hAnsiTheme="majorHAnsi" w:cstheme="majorHAnsi"/>
          <w:b/>
          <w:bCs/>
          <w:sz w:val="24"/>
          <w:szCs w:val="24"/>
        </w:rPr>
        <w:t>:</w:t>
      </w:r>
      <w:r w:rsidRPr="00D22E0F">
        <w:rPr>
          <w:rFonts w:asciiTheme="majorHAnsi" w:hAnsiTheme="majorHAnsi" w:cstheme="majorHAnsi"/>
          <w:sz w:val="24"/>
          <w:szCs w:val="24"/>
        </w:rPr>
        <w:t xml:space="preserve"> “</w:t>
      </w:r>
      <w:proofErr w:type="spellStart"/>
      <w:r w:rsidRPr="00D22E0F">
        <w:rPr>
          <w:rFonts w:asciiTheme="majorHAnsi" w:hAnsiTheme="majorHAnsi" w:cstheme="majorHAnsi"/>
          <w:sz w:val="24"/>
          <w:szCs w:val="24"/>
        </w:rPr>
        <w:t>Authence</w:t>
      </w:r>
      <w:proofErr w:type="spellEnd"/>
      <w:r w:rsidRPr="00D22E0F">
        <w:rPr>
          <w:rFonts w:asciiTheme="majorHAnsi" w:hAnsiTheme="majorHAnsi" w:cstheme="majorHAnsi"/>
          <w:sz w:val="24"/>
          <w:szCs w:val="24"/>
        </w:rPr>
        <w:t xml:space="preserve">®, la llave maestra para el manejo de gramíneas resistentes”, Alejandro Piñeiro, Nicolás </w:t>
      </w:r>
      <w:proofErr w:type="spellStart"/>
      <w:r w:rsidRPr="00D22E0F">
        <w:rPr>
          <w:rFonts w:asciiTheme="majorHAnsi" w:hAnsiTheme="majorHAnsi" w:cstheme="majorHAnsi"/>
          <w:sz w:val="24"/>
          <w:szCs w:val="24"/>
        </w:rPr>
        <w:t>Bongiorni</w:t>
      </w:r>
      <w:proofErr w:type="spellEnd"/>
      <w:r w:rsidRPr="00D22E0F">
        <w:rPr>
          <w:rFonts w:asciiTheme="majorHAnsi" w:hAnsiTheme="majorHAnsi" w:cstheme="majorHAnsi"/>
          <w:sz w:val="24"/>
          <w:szCs w:val="24"/>
        </w:rPr>
        <w:t xml:space="preserve"> (sala Syngenta).</w:t>
      </w:r>
    </w:p>
    <w:p w14:paraId="17F8E2B9" w14:textId="77777777" w:rsidR="00D22E0F" w:rsidRPr="00D22E0F" w:rsidRDefault="00D22E0F" w:rsidP="00D22E0F">
      <w:pPr>
        <w:pStyle w:val="Prrafodelista"/>
        <w:numPr>
          <w:ilvl w:val="0"/>
          <w:numId w:val="3"/>
        </w:numPr>
        <w:shd w:val="clear" w:color="auto" w:fill="FFFFFF" w:themeFill="background1"/>
        <w:spacing w:line="276" w:lineRule="auto"/>
        <w:jc w:val="both"/>
        <w:rPr>
          <w:rFonts w:asciiTheme="majorHAnsi" w:hAnsiTheme="majorHAnsi" w:cstheme="majorHAnsi"/>
          <w:sz w:val="24"/>
          <w:szCs w:val="24"/>
        </w:rPr>
      </w:pPr>
      <w:r w:rsidRPr="00D22E0F">
        <w:rPr>
          <w:rFonts w:asciiTheme="majorHAnsi" w:hAnsiTheme="majorHAnsi" w:cstheme="majorHAnsi"/>
          <w:b/>
          <w:bCs/>
          <w:sz w:val="24"/>
          <w:szCs w:val="24"/>
        </w:rPr>
        <w:t xml:space="preserve">Jueves 6 de agosto, 11:15 </w:t>
      </w:r>
      <w:proofErr w:type="spellStart"/>
      <w:r w:rsidRPr="00D22E0F">
        <w:rPr>
          <w:rFonts w:asciiTheme="majorHAnsi" w:hAnsiTheme="majorHAnsi" w:cstheme="majorHAnsi"/>
          <w:b/>
          <w:bCs/>
          <w:sz w:val="24"/>
          <w:szCs w:val="24"/>
        </w:rPr>
        <w:t>hs</w:t>
      </w:r>
      <w:proofErr w:type="spellEnd"/>
      <w:r w:rsidRPr="00D22E0F">
        <w:rPr>
          <w:rFonts w:asciiTheme="majorHAnsi" w:hAnsiTheme="majorHAnsi" w:cstheme="majorHAnsi"/>
          <w:b/>
          <w:bCs/>
          <w:sz w:val="24"/>
          <w:szCs w:val="24"/>
        </w:rPr>
        <w:t>:</w:t>
      </w:r>
      <w:r w:rsidRPr="00D22E0F">
        <w:rPr>
          <w:rFonts w:asciiTheme="majorHAnsi" w:hAnsiTheme="majorHAnsi" w:cstheme="majorHAnsi"/>
          <w:sz w:val="24"/>
          <w:szCs w:val="24"/>
        </w:rPr>
        <w:t xml:space="preserve"> "El suelo habla: </w:t>
      </w:r>
      <w:proofErr w:type="spellStart"/>
      <w:r w:rsidRPr="00D22E0F">
        <w:rPr>
          <w:rFonts w:asciiTheme="majorHAnsi" w:hAnsiTheme="majorHAnsi" w:cstheme="majorHAnsi"/>
          <w:sz w:val="24"/>
          <w:szCs w:val="24"/>
        </w:rPr>
        <w:t>Soil</w:t>
      </w:r>
      <w:proofErr w:type="spellEnd"/>
      <w:r w:rsidRPr="00D22E0F">
        <w:rPr>
          <w:rFonts w:asciiTheme="majorHAnsi" w:hAnsiTheme="majorHAnsi" w:cstheme="majorHAnsi"/>
          <w:sz w:val="24"/>
          <w:szCs w:val="24"/>
        </w:rPr>
        <w:t xml:space="preserve"> Data </w:t>
      </w:r>
      <w:proofErr w:type="spellStart"/>
      <w:r w:rsidRPr="00D22E0F">
        <w:rPr>
          <w:rFonts w:asciiTheme="majorHAnsi" w:hAnsiTheme="majorHAnsi" w:cstheme="majorHAnsi"/>
          <w:sz w:val="24"/>
          <w:szCs w:val="24"/>
        </w:rPr>
        <w:t>Fusion</w:t>
      </w:r>
      <w:proofErr w:type="spellEnd"/>
      <w:r w:rsidRPr="00D22E0F">
        <w:rPr>
          <w:rFonts w:asciiTheme="majorHAnsi" w:hAnsiTheme="majorHAnsi" w:cstheme="majorHAnsi"/>
          <w:sz w:val="24"/>
          <w:szCs w:val="24"/>
        </w:rPr>
        <w:t>", Catriel Pedernera, Federico Miles (sala Syngenta).</w:t>
      </w:r>
    </w:p>
    <w:p w14:paraId="421E864F" w14:textId="77777777" w:rsidR="00D22E0F" w:rsidRPr="00D22E0F" w:rsidRDefault="00D22E0F" w:rsidP="00D22E0F">
      <w:pPr>
        <w:widowControl w:val="0"/>
        <w:jc w:val="both"/>
        <w:rPr>
          <w:rFonts w:asciiTheme="majorHAnsi" w:hAnsiTheme="majorHAnsi" w:cstheme="majorHAnsi"/>
          <w:b/>
          <w:bCs/>
          <w:sz w:val="24"/>
          <w:szCs w:val="24"/>
        </w:rPr>
      </w:pPr>
    </w:p>
    <w:p w14:paraId="281359E5" w14:textId="77777777" w:rsidR="00D22E0F" w:rsidRPr="00D22E0F" w:rsidRDefault="00D22E0F" w:rsidP="00D22E0F">
      <w:pPr>
        <w:jc w:val="both"/>
        <w:rPr>
          <w:rFonts w:asciiTheme="majorHAnsi" w:hAnsiTheme="majorHAnsi" w:cstheme="majorHAnsi"/>
          <w:b/>
          <w:bCs/>
          <w:sz w:val="24"/>
          <w:szCs w:val="24"/>
        </w:rPr>
      </w:pPr>
      <w:r w:rsidRPr="00D22E0F">
        <w:rPr>
          <w:rFonts w:asciiTheme="majorHAnsi" w:hAnsiTheme="majorHAnsi" w:cstheme="majorHAnsi"/>
          <w:b/>
          <w:bCs/>
          <w:sz w:val="24"/>
          <w:szCs w:val="24"/>
        </w:rPr>
        <w:t>Acerca de Syngenta</w:t>
      </w:r>
    </w:p>
    <w:p w14:paraId="096C6DD4" w14:textId="77777777" w:rsidR="00D22E0F" w:rsidRPr="00D22E0F" w:rsidRDefault="00D22E0F" w:rsidP="00D22E0F">
      <w:pPr>
        <w:jc w:val="both"/>
        <w:rPr>
          <w:rFonts w:asciiTheme="majorHAnsi" w:hAnsiTheme="majorHAnsi" w:cstheme="majorHAnsi"/>
          <w:sz w:val="24"/>
          <w:szCs w:val="24"/>
        </w:rPr>
      </w:pPr>
    </w:p>
    <w:p w14:paraId="1FBE0402" w14:textId="77777777" w:rsidR="00D22E0F" w:rsidRPr="00D22E0F" w:rsidRDefault="00D22E0F" w:rsidP="00D22E0F">
      <w:pPr>
        <w:pStyle w:val="SGARecipient"/>
        <w:spacing w:line="276" w:lineRule="auto"/>
        <w:jc w:val="both"/>
        <w:rPr>
          <w:rFonts w:asciiTheme="majorHAnsi" w:eastAsia="Arial" w:hAnsiTheme="majorHAnsi" w:cstheme="majorHAnsi"/>
          <w:sz w:val="24"/>
          <w:szCs w:val="24"/>
          <w:lang w:val="es-AR"/>
        </w:rPr>
      </w:pPr>
      <w:r w:rsidRPr="00D22E0F">
        <w:rPr>
          <w:rFonts w:asciiTheme="majorHAnsi" w:eastAsia="Arial" w:hAnsiTheme="majorHAnsi" w:cstheme="majorHAnsi"/>
          <w:sz w:val="24"/>
          <w:szCs w:val="24"/>
          <w:lang w:val="es-AR"/>
        </w:rPr>
        <w:t>Syngenta es una compañía líder en tecnología agrícola (</w:t>
      </w:r>
      <w:proofErr w:type="spellStart"/>
      <w:r w:rsidRPr="00D22E0F">
        <w:rPr>
          <w:rFonts w:asciiTheme="majorHAnsi" w:eastAsia="Arial" w:hAnsiTheme="majorHAnsi" w:cstheme="majorHAnsi"/>
          <w:sz w:val="24"/>
          <w:szCs w:val="24"/>
          <w:lang w:val="es-AR"/>
        </w:rPr>
        <w:t>AgTech</w:t>
      </w:r>
      <w:proofErr w:type="spellEnd"/>
      <w:r w:rsidRPr="00D22E0F">
        <w:rPr>
          <w:rFonts w:asciiTheme="majorHAnsi" w:eastAsia="Arial" w:hAnsiTheme="majorHAnsi" w:cstheme="majorHAnsi"/>
          <w:sz w:val="24"/>
          <w:szCs w:val="24"/>
          <w:lang w:val="es-AR"/>
        </w:rPr>
        <w:t>) basada en ciencia, que desarrolla Innovación con impacto para los agricultores, en todos los campos (</w:t>
      </w:r>
      <w:proofErr w:type="spellStart"/>
      <w:r w:rsidRPr="00D22E0F">
        <w:rPr>
          <w:rFonts w:asciiTheme="majorHAnsi" w:eastAsia="Arial" w:hAnsiTheme="majorHAnsi" w:cstheme="majorHAnsi"/>
          <w:i/>
          <w:iCs/>
          <w:sz w:val="24"/>
          <w:szCs w:val="24"/>
          <w:lang w:val="es-AR"/>
        </w:rPr>
        <w:t>Breakthroughs</w:t>
      </w:r>
      <w:proofErr w:type="spellEnd"/>
      <w:r w:rsidRPr="00D22E0F">
        <w:rPr>
          <w:rFonts w:asciiTheme="majorHAnsi" w:eastAsia="Arial" w:hAnsiTheme="majorHAnsi" w:cstheme="majorHAnsi"/>
          <w:i/>
          <w:iCs/>
          <w:sz w:val="24"/>
          <w:szCs w:val="24"/>
          <w:lang w:val="es-AR"/>
        </w:rPr>
        <w:t xml:space="preserve"> </w:t>
      </w:r>
      <w:proofErr w:type="spellStart"/>
      <w:r w:rsidRPr="00D22E0F">
        <w:rPr>
          <w:rFonts w:asciiTheme="majorHAnsi" w:eastAsia="Arial" w:hAnsiTheme="majorHAnsi" w:cstheme="majorHAnsi"/>
          <w:i/>
          <w:iCs/>
          <w:sz w:val="24"/>
          <w:szCs w:val="24"/>
          <w:lang w:val="es-AR"/>
        </w:rPr>
        <w:lastRenderedPageBreak/>
        <w:t>for</w:t>
      </w:r>
      <w:proofErr w:type="spellEnd"/>
      <w:r w:rsidRPr="00D22E0F">
        <w:rPr>
          <w:rFonts w:asciiTheme="majorHAnsi" w:eastAsia="Arial" w:hAnsiTheme="majorHAnsi" w:cstheme="majorHAnsi"/>
          <w:i/>
          <w:iCs/>
          <w:sz w:val="24"/>
          <w:szCs w:val="24"/>
          <w:lang w:val="es-AR"/>
        </w:rPr>
        <w:t xml:space="preserve"> </w:t>
      </w:r>
      <w:proofErr w:type="spellStart"/>
      <w:r w:rsidRPr="00D22E0F">
        <w:rPr>
          <w:rFonts w:asciiTheme="majorHAnsi" w:eastAsia="Arial" w:hAnsiTheme="majorHAnsi" w:cstheme="majorHAnsi"/>
          <w:i/>
          <w:iCs/>
          <w:sz w:val="24"/>
          <w:szCs w:val="24"/>
          <w:lang w:val="es-AR"/>
        </w:rPr>
        <w:t>farmers</w:t>
      </w:r>
      <w:proofErr w:type="spellEnd"/>
      <w:r w:rsidRPr="00D22E0F">
        <w:rPr>
          <w:rFonts w:asciiTheme="majorHAnsi" w:eastAsia="Arial" w:hAnsiTheme="majorHAnsi" w:cstheme="majorHAnsi"/>
          <w:i/>
          <w:iCs/>
          <w:sz w:val="24"/>
          <w:szCs w:val="24"/>
          <w:lang w:val="es-AR"/>
        </w:rPr>
        <w:t xml:space="preserve">, in </w:t>
      </w:r>
      <w:proofErr w:type="spellStart"/>
      <w:r w:rsidRPr="00D22E0F">
        <w:rPr>
          <w:rFonts w:asciiTheme="majorHAnsi" w:eastAsia="Arial" w:hAnsiTheme="majorHAnsi" w:cstheme="majorHAnsi"/>
          <w:i/>
          <w:iCs/>
          <w:sz w:val="24"/>
          <w:szCs w:val="24"/>
          <w:lang w:val="es-AR"/>
        </w:rPr>
        <w:t>every</w:t>
      </w:r>
      <w:proofErr w:type="spellEnd"/>
      <w:r w:rsidRPr="00D22E0F">
        <w:rPr>
          <w:rFonts w:asciiTheme="majorHAnsi" w:eastAsia="Arial" w:hAnsiTheme="majorHAnsi" w:cstheme="majorHAnsi"/>
          <w:i/>
          <w:iCs/>
          <w:sz w:val="24"/>
          <w:szCs w:val="24"/>
          <w:lang w:val="es-AR"/>
        </w:rPr>
        <w:t xml:space="preserve"> </w:t>
      </w:r>
      <w:proofErr w:type="spellStart"/>
      <w:r w:rsidRPr="00D22E0F">
        <w:rPr>
          <w:rFonts w:asciiTheme="majorHAnsi" w:eastAsia="Arial" w:hAnsiTheme="majorHAnsi" w:cstheme="majorHAnsi"/>
          <w:i/>
          <w:iCs/>
          <w:sz w:val="24"/>
          <w:szCs w:val="24"/>
          <w:lang w:val="es-AR"/>
        </w:rPr>
        <w:t>field</w:t>
      </w:r>
      <w:proofErr w:type="spellEnd"/>
      <w:r w:rsidRPr="00D22E0F">
        <w:rPr>
          <w:rFonts w:asciiTheme="majorHAnsi" w:eastAsia="Arial" w:hAnsiTheme="majorHAnsi" w:cstheme="majorHAnsi"/>
          <w:i/>
          <w:iCs/>
          <w:sz w:val="24"/>
          <w:szCs w:val="24"/>
          <w:lang w:val="es-AR"/>
        </w:rPr>
        <w:t>™</w:t>
      </w:r>
      <w:r w:rsidRPr="00D22E0F">
        <w:rPr>
          <w:rFonts w:asciiTheme="majorHAnsi" w:eastAsia="Arial" w:hAnsiTheme="majorHAnsi" w:cstheme="majorHAnsi"/>
          <w:sz w:val="24"/>
          <w:szCs w:val="24"/>
          <w:lang w:val="es-AR"/>
        </w:rPr>
        <w:t xml:space="preserve">), para acompañar las demandas de la agricultura moderna. A través de innovación de vanguardia, y guiada por su </w:t>
      </w:r>
      <w:hyperlink r:id="rId7" w:history="1">
        <w:r w:rsidRPr="00D22E0F">
          <w:rPr>
            <w:rStyle w:val="Hipervnculo"/>
            <w:rFonts w:asciiTheme="majorHAnsi" w:eastAsia="Arial" w:hAnsiTheme="majorHAnsi" w:cstheme="majorHAnsi"/>
            <w:color w:val="auto"/>
            <w:sz w:val="24"/>
            <w:szCs w:val="24"/>
            <w:lang w:val="es-AR"/>
          </w:rPr>
          <w:t>Objetivo de Sustentabilidad</w:t>
        </w:r>
      </w:hyperlink>
      <w:r w:rsidRPr="00D22E0F">
        <w:rPr>
          <w:rFonts w:asciiTheme="majorHAnsi" w:eastAsia="Arial" w:hAnsiTheme="majorHAnsi" w:cstheme="majorHAnsi"/>
          <w:sz w:val="24"/>
          <w:szCs w:val="24"/>
          <w:lang w:val="es-AR"/>
        </w:rPr>
        <w:t xml:space="preserve"> de Mayor rendimiento, menor impacto, Syngenta ayuda a los agricultores a producir cultivos resilientes y sanos que puedan alimentar a una población mundial en crecimiento, protegiendo y mejorando el planeta al mismo tiempo. </w:t>
      </w:r>
    </w:p>
    <w:p w14:paraId="57AC77B9" w14:textId="77777777" w:rsidR="00D22E0F" w:rsidRPr="00D22E0F" w:rsidRDefault="00D22E0F" w:rsidP="00D22E0F">
      <w:pPr>
        <w:pStyle w:val="SGARecipient"/>
        <w:spacing w:line="276" w:lineRule="auto"/>
        <w:jc w:val="both"/>
        <w:rPr>
          <w:rFonts w:asciiTheme="majorHAnsi" w:eastAsia="Arial" w:hAnsiTheme="majorHAnsi" w:cstheme="majorHAnsi"/>
          <w:sz w:val="24"/>
          <w:szCs w:val="24"/>
          <w:lang w:val="es-AR"/>
        </w:rPr>
      </w:pPr>
      <w:r w:rsidRPr="00D22E0F">
        <w:rPr>
          <w:rFonts w:asciiTheme="majorHAnsi" w:eastAsia="Arial" w:hAnsiTheme="majorHAnsi" w:cstheme="majorHAnsi"/>
          <w:sz w:val="24"/>
          <w:szCs w:val="24"/>
          <w:lang w:val="es-AR"/>
        </w:rPr>
        <w:t xml:space="preserve">Syngenta emplea a más de 30.000 personas en más de 90 países y forma parte de Syngenta </w:t>
      </w:r>
      <w:proofErr w:type="spellStart"/>
      <w:r w:rsidRPr="00D22E0F">
        <w:rPr>
          <w:rFonts w:asciiTheme="majorHAnsi" w:eastAsia="Arial" w:hAnsiTheme="majorHAnsi" w:cstheme="majorHAnsi"/>
          <w:sz w:val="24"/>
          <w:szCs w:val="24"/>
          <w:lang w:val="es-AR"/>
        </w:rPr>
        <w:t>Group</w:t>
      </w:r>
      <w:proofErr w:type="spellEnd"/>
      <w:r w:rsidRPr="00D22E0F">
        <w:rPr>
          <w:rFonts w:asciiTheme="majorHAnsi" w:eastAsia="Arial" w:hAnsiTheme="majorHAnsi" w:cstheme="majorHAnsi"/>
          <w:sz w:val="24"/>
          <w:szCs w:val="24"/>
          <w:lang w:val="es-AR"/>
        </w:rPr>
        <w:t xml:space="preserve">. Está integrada por dos unidades de negocio: Syngenta </w:t>
      </w:r>
      <w:proofErr w:type="spellStart"/>
      <w:r w:rsidRPr="00D22E0F">
        <w:rPr>
          <w:rFonts w:asciiTheme="majorHAnsi" w:eastAsia="Arial" w:hAnsiTheme="majorHAnsi" w:cstheme="majorHAnsi"/>
          <w:sz w:val="24"/>
          <w:szCs w:val="24"/>
          <w:lang w:val="es-AR"/>
        </w:rPr>
        <w:t>Crop</w:t>
      </w:r>
      <w:proofErr w:type="spellEnd"/>
      <w:r w:rsidRPr="00D22E0F">
        <w:rPr>
          <w:rFonts w:asciiTheme="majorHAnsi" w:eastAsia="Arial" w:hAnsiTheme="majorHAnsi" w:cstheme="majorHAnsi"/>
          <w:sz w:val="24"/>
          <w:szCs w:val="24"/>
          <w:lang w:val="es-AR"/>
        </w:rPr>
        <w:t xml:space="preserve"> </w:t>
      </w:r>
      <w:proofErr w:type="spellStart"/>
      <w:r w:rsidRPr="00D22E0F">
        <w:rPr>
          <w:rFonts w:asciiTheme="majorHAnsi" w:eastAsia="Arial" w:hAnsiTheme="majorHAnsi" w:cstheme="majorHAnsi"/>
          <w:sz w:val="24"/>
          <w:szCs w:val="24"/>
          <w:lang w:val="es-AR"/>
        </w:rPr>
        <w:t>Protection</w:t>
      </w:r>
      <w:proofErr w:type="spellEnd"/>
      <w:r w:rsidRPr="00D22E0F">
        <w:rPr>
          <w:rFonts w:asciiTheme="majorHAnsi" w:eastAsia="Arial" w:hAnsiTheme="majorHAnsi" w:cstheme="majorHAnsi"/>
          <w:sz w:val="24"/>
          <w:szCs w:val="24"/>
          <w:lang w:val="es-AR"/>
        </w:rPr>
        <w:t xml:space="preserve">, con sede en Suiza; y Syngenta </w:t>
      </w:r>
      <w:proofErr w:type="spellStart"/>
      <w:r w:rsidRPr="00D22E0F">
        <w:rPr>
          <w:rFonts w:asciiTheme="majorHAnsi" w:eastAsia="Arial" w:hAnsiTheme="majorHAnsi" w:cstheme="majorHAnsi"/>
          <w:sz w:val="24"/>
          <w:szCs w:val="24"/>
          <w:lang w:val="es-AR"/>
        </w:rPr>
        <w:t>Seeds</w:t>
      </w:r>
      <w:proofErr w:type="spellEnd"/>
      <w:r w:rsidRPr="00D22E0F">
        <w:rPr>
          <w:rFonts w:asciiTheme="majorHAnsi" w:eastAsia="Arial" w:hAnsiTheme="majorHAnsi" w:cstheme="majorHAnsi"/>
          <w:sz w:val="24"/>
          <w:szCs w:val="24"/>
          <w:lang w:val="es-AR"/>
        </w:rPr>
        <w:t>, con sede en Estados Unidos.</w:t>
      </w:r>
    </w:p>
    <w:p w14:paraId="0E79DA7D" w14:textId="77777777" w:rsidR="00D22E0F" w:rsidRPr="00D22E0F" w:rsidRDefault="00D22E0F" w:rsidP="00D22E0F">
      <w:pPr>
        <w:pStyle w:val="SGARecipient"/>
        <w:spacing w:line="276" w:lineRule="auto"/>
        <w:jc w:val="both"/>
        <w:rPr>
          <w:rFonts w:asciiTheme="majorHAnsi" w:eastAsia="Arial" w:hAnsiTheme="majorHAnsi" w:cstheme="majorHAnsi"/>
          <w:sz w:val="24"/>
          <w:szCs w:val="24"/>
          <w:lang w:val="es-AR"/>
        </w:rPr>
      </w:pPr>
      <w:r w:rsidRPr="00D22E0F">
        <w:rPr>
          <w:rFonts w:asciiTheme="majorHAnsi" w:eastAsia="Arial" w:hAnsiTheme="majorHAnsi" w:cstheme="majorHAnsi"/>
          <w:sz w:val="24"/>
          <w:szCs w:val="24"/>
          <w:lang w:val="es-AR"/>
        </w:rPr>
        <w:t>Para más información sobre cómo Syngenta crea innovaciones con impacto para los agricultores de todo el mundo, lea nuestras historias y síganos en las redes sociales.</w:t>
      </w:r>
    </w:p>
    <w:p w14:paraId="57C0A88A" w14:textId="77777777" w:rsidR="003938A4" w:rsidRPr="003938A4" w:rsidRDefault="003938A4">
      <w:pPr>
        <w:rPr>
          <w:lang w:val="es-ES"/>
        </w:rPr>
      </w:pPr>
    </w:p>
    <w:sectPr w:rsidR="003938A4" w:rsidRPr="003938A4">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387C" w14:textId="77777777" w:rsidR="0056693D" w:rsidRDefault="0056693D">
      <w:pPr>
        <w:spacing w:line="240" w:lineRule="auto"/>
      </w:pPr>
      <w:r>
        <w:separator/>
      </w:r>
    </w:p>
  </w:endnote>
  <w:endnote w:type="continuationSeparator" w:id="0">
    <w:p w14:paraId="2C0DD5D7" w14:textId="77777777" w:rsidR="0056693D" w:rsidRDefault="00566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60BDB22-C871-4982-BEF7-3C3AED36C181}"/>
    <w:embedBold r:id="rId2" w:fontKey="{0B57CFE8-B367-4B0D-840F-FDCFC533C09A}"/>
    <w:embedItalic r:id="rId3" w:fontKey="{3D2071F8-62EC-4824-A4D6-5C7F86260FF0}"/>
  </w:font>
  <w:font w:name="Calibri">
    <w:panose1 w:val="020F0502020204030204"/>
    <w:charset w:val="00"/>
    <w:family w:val="swiss"/>
    <w:pitch w:val="variable"/>
    <w:sig w:usb0="E4002EFF" w:usb1="C200247B" w:usb2="00000009" w:usb3="00000000" w:csb0="000001FF" w:csb1="00000000"/>
    <w:embedRegular r:id="rId4" w:fontKey="{2B27772D-BE7A-40E5-B90C-FADBFECB56A0}"/>
    <w:embedBold r:id="rId5" w:fontKey="{7E1B0FBD-2F88-4D84-80BF-984E5BF21643}"/>
    <w:embedItalic r:id="rId6" w:fontKey="{B6D01ADF-000D-414E-8D25-69A039860F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A" w14:textId="77777777" w:rsidR="00144A5F" w:rsidRDefault="00144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D5D15" w14:textId="77777777" w:rsidR="0056693D" w:rsidRDefault="0056693D">
      <w:pPr>
        <w:spacing w:line="240" w:lineRule="auto"/>
      </w:pPr>
      <w:r>
        <w:separator/>
      </w:r>
    </w:p>
  </w:footnote>
  <w:footnote w:type="continuationSeparator" w:id="0">
    <w:p w14:paraId="5C1566AB" w14:textId="77777777" w:rsidR="0056693D" w:rsidRDefault="005669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9" w14:textId="77777777" w:rsidR="00144A5F" w:rsidRDefault="00840710">
    <w:r>
      <w:rPr>
        <w:noProof/>
      </w:rPr>
      <w:drawing>
        <wp:anchor distT="114300" distB="114300" distL="114300" distR="114300" simplePos="0" relativeHeight="251658240" behindDoc="0" locked="0" layoutInCell="1" hidden="0" allowOverlap="1" wp14:anchorId="517DD30B" wp14:editId="517DD30C">
          <wp:simplePos x="0" y="0"/>
          <wp:positionH relativeFrom="page">
            <wp:posOffset>-9524</wp:posOffset>
          </wp:positionH>
          <wp:positionV relativeFrom="page">
            <wp:posOffset>-47624</wp:posOffset>
          </wp:positionV>
          <wp:extent cx="7605713" cy="91474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5713" cy="91474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6DEE"/>
    <w:multiLevelType w:val="multilevel"/>
    <w:tmpl w:val="0844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5065F"/>
    <w:multiLevelType w:val="hybridMultilevel"/>
    <w:tmpl w:val="4878B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92E51B3"/>
    <w:multiLevelType w:val="hybridMultilevel"/>
    <w:tmpl w:val="1E201DD0"/>
    <w:lvl w:ilvl="0" w:tplc="0F1879A6">
      <w:start w:val="1"/>
      <w:numFmt w:val="bullet"/>
      <w:lvlText w:val=""/>
      <w:lvlJc w:val="left"/>
      <w:pPr>
        <w:ind w:left="720" w:hanging="360"/>
      </w:pPr>
      <w:rPr>
        <w:rFonts w:ascii="Symbol" w:hAnsi="Symbol" w:hint="default"/>
      </w:rPr>
    </w:lvl>
    <w:lvl w:ilvl="1" w:tplc="3E7C646C">
      <w:start w:val="1"/>
      <w:numFmt w:val="bullet"/>
      <w:lvlText w:val="o"/>
      <w:lvlJc w:val="left"/>
      <w:pPr>
        <w:ind w:left="1440" w:hanging="360"/>
      </w:pPr>
      <w:rPr>
        <w:rFonts w:ascii="Courier New" w:hAnsi="Courier New" w:cs="Times New Roman" w:hint="default"/>
      </w:rPr>
    </w:lvl>
    <w:lvl w:ilvl="2" w:tplc="05D04E70">
      <w:start w:val="1"/>
      <w:numFmt w:val="bullet"/>
      <w:lvlText w:val=""/>
      <w:lvlJc w:val="left"/>
      <w:pPr>
        <w:ind w:left="2160" w:hanging="360"/>
      </w:pPr>
      <w:rPr>
        <w:rFonts w:ascii="Wingdings" w:hAnsi="Wingdings" w:hint="default"/>
      </w:rPr>
    </w:lvl>
    <w:lvl w:ilvl="3" w:tplc="6F3E3B86">
      <w:start w:val="1"/>
      <w:numFmt w:val="bullet"/>
      <w:lvlText w:val=""/>
      <w:lvlJc w:val="left"/>
      <w:pPr>
        <w:ind w:left="2880" w:hanging="360"/>
      </w:pPr>
      <w:rPr>
        <w:rFonts w:ascii="Symbol" w:hAnsi="Symbol" w:hint="default"/>
      </w:rPr>
    </w:lvl>
    <w:lvl w:ilvl="4" w:tplc="080E5AE2">
      <w:start w:val="1"/>
      <w:numFmt w:val="bullet"/>
      <w:lvlText w:val="o"/>
      <w:lvlJc w:val="left"/>
      <w:pPr>
        <w:ind w:left="3600" w:hanging="360"/>
      </w:pPr>
      <w:rPr>
        <w:rFonts w:ascii="Courier New" w:hAnsi="Courier New" w:cs="Times New Roman" w:hint="default"/>
      </w:rPr>
    </w:lvl>
    <w:lvl w:ilvl="5" w:tplc="048E1902">
      <w:start w:val="1"/>
      <w:numFmt w:val="bullet"/>
      <w:lvlText w:val=""/>
      <w:lvlJc w:val="left"/>
      <w:pPr>
        <w:ind w:left="4320" w:hanging="360"/>
      </w:pPr>
      <w:rPr>
        <w:rFonts w:ascii="Wingdings" w:hAnsi="Wingdings" w:hint="default"/>
      </w:rPr>
    </w:lvl>
    <w:lvl w:ilvl="6" w:tplc="E91EA4C6">
      <w:start w:val="1"/>
      <w:numFmt w:val="bullet"/>
      <w:lvlText w:val=""/>
      <w:lvlJc w:val="left"/>
      <w:pPr>
        <w:ind w:left="5040" w:hanging="360"/>
      </w:pPr>
      <w:rPr>
        <w:rFonts w:ascii="Symbol" w:hAnsi="Symbol" w:hint="default"/>
      </w:rPr>
    </w:lvl>
    <w:lvl w:ilvl="7" w:tplc="D8F0F41C">
      <w:start w:val="1"/>
      <w:numFmt w:val="bullet"/>
      <w:lvlText w:val="o"/>
      <w:lvlJc w:val="left"/>
      <w:pPr>
        <w:ind w:left="5760" w:hanging="360"/>
      </w:pPr>
      <w:rPr>
        <w:rFonts w:ascii="Courier New" w:hAnsi="Courier New" w:cs="Times New Roman" w:hint="default"/>
      </w:rPr>
    </w:lvl>
    <w:lvl w:ilvl="8" w:tplc="6B52AE2C">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5F"/>
    <w:rsid w:val="000D503D"/>
    <w:rsid w:val="00144A5F"/>
    <w:rsid w:val="003938A4"/>
    <w:rsid w:val="00415FAB"/>
    <w:rsid w:val="00423181"/>
    <w:rsid w:val="004523D8"/>
    <w:rsid w:val="0047311C"/>
    <w:rsid w:val="004A115A"/>
    <w:rsid w:val="0056693D"/>
    <w:rsid w:val="005C13C5"/>
    <w:rsid w:val="00646B62"/>
    <w:rsid w:val="006D0F34"/>
    <w:rsid w:val="00703A18"/>
    <w:rsid w:val="007C3464"/>
    <w:rsid w:val="00811F27"/>
    <w:rsid w:val="00840710"/>
    <w:rsid w:val="00844339"/>
    <w:rsid w:val="00900797"/>
    <w:rsid w:val="00973829"/>
    <w:rsid w:val="00A6641B"/>
    <w:rsid w:val="00A75FC7"/>
    <w:rsid w:val="00AD34E0"/>
    <w:rsid w:val="00B52593"/>
    <w:rsid w:val="00C03995"/>
    <w:rsid w:val="00CB4233"/>
    <w:rsid w:val="00CB5FF3"/>
    <w:rsid w:val="00D22E0F"/>
    <w:rsid w:val="00D23C7B"/>
    <w:rsid w:val="00E570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D306"/>
  <w15:docId w15:val="{4C510EBC-D0E4-43EB-9350-8AED3E65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link w:val="SubttuloCar"/>
    <w:uiPriority w:val="1"/>
    <w:qFormat/>
    <w:pPr>
      <w:keepNext/>
      <w:keepLines/>
      <w:spacing w:after="320"/>
    </w:pPr>
    <w:rPr>
      <w:color w:val="666666"/>
      <w:sz w:val="30"/>
      <w:szCs w:val="30"/>
    </w:rPr>
  </w:style>
  <w:style w:type="paragraph" w:styleId="NormalWeb">
    <w:name w:val="Normal (Web)"/>
    <w:basedOn w:val="Normal"/>
    <w:uiPriority w:val="99"/>
    <w:semiHidden/>
    <w:unhideWhenUsed/>
    <w:rsid w:val="00A75FC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75FC7"/>
    <w:rPr>
      <w:b/>
      <w:bCs/>
    </w:rPr>
  </w:style>
  <w:style w:type="character" w:styleId="Hipervnculo">
    <w:name w:val="Hyperlink"/>
    <w:basedOn w:val="Fuentedeprrafopredeter"/>
    <w:uiPriority w:val="99"/>
    <w:semiHidden/>
    <w:unhideWhenUsed/>
    <w:qFormat/>
    <w:rsid w:val="00D22E0F"/>
    <w:rPr>
      <w:color w:val="EEECE1" w:themeColor="background2"/>
      <w:u w:val="single"/>
    </w:rPr>
  </w:style>
  <w:style w:type="paragraph" w:styleId="Textoindependiente">
    <w:name w:val="Body Text"/>
    <w:basedOn w:val="Normal"/>
    <w:link w:val="TextoindependienteCar"/>
    <w:uiPriority w:val="3"/>
    <w:semiHidden/>
    <w:unhideWhenUsed/>
    <w:qFormat/>
    <w:rsid w:val="00D22E0F"/>
    <w:pPr>
      <w:widowControl w:val="0"/>
      <w:spacing w:after="160" w:line="240" w:lineRule="auto"/>
      <w:contextualSpacing/>
    </w:pPr>
    <w:rPr>
      <w:rFonts w:asciiTheme="minorHAnsi" w:hAnsiTheme="minorHAnsi" w:cstheme="minorBidi"/>
      <w:lang w:val="es-AR" w:eastAsia="en-US"/>
    </w:rPr>
  </w:style>
  <w:style w:type="character" w:customStyle="1" w:styleId="TextoindependienteCar">
    <w:name w:val="Texto independiente Car"/>
    <w:basedOn w:val="Fuentedeprrafopredeter"/>
    <w:link w:val="Textoindependiente"/>
    <w:uiPriority w:val="3"/>
    <w:semiHidden/>
    <w:rsid w:val="00D22E0F"/>
    <w:rPr>
      <w:rFonts w:asciiTheme="minorHAnsi" w:hAnsiTheme="minorHAnsi" w:cstheme="minorBidi"/>
      <w:lang w:val="es-AR" w:eastAsia="en-US"/>
    </w:rPr>
  </w:style>
  <w:style w:type="character" w:customStyle="1" w:styleId="SubttuloCar">
    <w:name w:val="Subtítulo Car"/>
    <w:basedOn w:val="Fuentedeprrafopredeter"/>
    <w:link w:val="Subttulo"/>
    <w:uiPriority w:val="1"/>
    <w:rsid w:val="00D22E0F"/>
    <w:rPr>
      <w:color w:val="666666"/>
      <w:sz w:val="30"/>
      <w:szCs w:val="30"/>
    </w:rPr>
  </w:style>
  <w:style w:type="paragraph" w:styleId="Prrafodelista">
    <w:name w:val="List Paragraph"/>
    <w:basedOn w:val="Normal"/>
    <w:uiPriority w:val="34"/>
    <w:qFormat/>
    <w:rsid w:val="00D22E0F"/>
    <w:pPr>
      <w:spacing w:after="160" w:line="256" w:lineRule="auto"/>
      <w:ind w:left="720"/>
      <w:contextualSpacing/>
    </w:pPr>
    <w:rPr>
      <w:rFonts w:asciiTheme="minorHAnsi" w:eastAsiaTheme="minorHAnsi" w:hAnsiTheme="minorHAnsi" w:cstheme="minorBidi"/>
      <w:lang w:val="es-AR" w:eastAsia="en-US"/>
    </w:rPr>
  </w:style>
  <w:style w:type="paragraph" w:customStyle="1" w:styleId="Contactinformation">
    <w:name w:val="Contact information"/>
    <w:basedOn w:val="Textoindependiente"/>
    <w:uiPriority w:val="36"/>
    <w:qFormat/>
    <w:rsid w:val="00D22E0F"/>
    <w:pPr>
      <w:spacing w:before="120"/>
      <w:ind w:left="115" w:right="58"/>
    </w:pPr>
    <w:rPr>
      <w:color w:val="000000" w:themeColor="text1"/>
      <w:sz w:val="20"/>
      <w:szCs w:val="20"/>
      <w:lang w:val="fr-FR"/>
    </w:rPr>
  </w:style>
  <w:style w:type="paragraph" w:customStyle="1" w:styleId="SGARecipient">
    <w:name w:val="SGARecipient"/>
    <w:basedOn w:val="Normal"/>
    <w:uiPriority w:val="1"/>
    <w:rsid w:val="00D22E0F"/>
    <w:pPr>
      <w:tabs>
        <w:tab w:val="left" w:pos="4763"/>
      </w:tabs>
      <w:spacing w:after="160" w:line="260" w:lineRule="atLeast"/>
    </w:pPr>
    <w:rPr>
      <w:rFonts w:eastAsia="Times New Roman" w:cs="Times New Roman"/>
      <w:lang w:val="en-US" w:eastAsia="en-US"/>
    </w:rPr>
  </w:style>
  <w:style w:type="table" w:customStyle="1" w:styleId="SyngentaTable1Default">
    <w:name w:val="Syngenta Table 1 (Default)"/>
    <w:basedOn w:val="Tablanormal"/>
    <w:uiPriority w:val="99"/>
    <w:rsid w:val="00D22E0F"/>
    <w:pPr>
      <w:spacing w:after="60" w:line="280" w:lineRule="atLeast"/>
      <w:ind w:left="115" w:right="115"/>
    </w:pPr>
    <w:rPr>
      <w:rFonts w:asciiTheme="minorHAnsi" w:eastAsiaTheme="minorHAnsi" w:hAnsiTheme="minorHAnsi" w:cstheme="minorBidi"/>
      <w:color w:val="000000" w:themeColor="text1"/>
      <w:sz w:val="20"/>
      <w:szCs w:val="20"/>
      <w:lang w:val="en-GB" w:eastAsia="en-US"/>
    </w:rPr>
    <w:tblPr>
      <w:tblInd w:w="0" w:type="nil"/>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left w:w="0" w:type="dxa"/>
        <w:right w:w="0" w:type="dxa"/>
      </w:tblCellMar>
    </w:tblPr>
    <w:tblStylePr w:type="firstRow">
      <w:pPr>
        <w:wordWrap/>
        <w:spacing w:beforeLines="0" w:before="100" w:beforeAutospacing="1" w:afterLines="0" w:after="100" w:afterAutospacing="1" w:line="280" w:lineRule="atLeast"/>
      </w:pPr>
      <w:rPr>
        <w:rFonts w:asciiTheme="majorHAnsi" w:hAnsiTheme="majorHAnsi" w:cs="Arial" w:hint="default"/>
        <w:b/>
        <w:color w:val="FFFFFF" w:themeColor="background1"/>
      </w:rPr>
      <w:tblPr/>
      <w:tcPr>
        <w:tcBorders>
          <w:top w:val="nil"/>
          <w:left w:val="nil"/>
          <w:bottom w:val="nil"/>
          <w:right w:val="nil"/>
          <w:insideH w:val="nil"/>
          <w:insideV w:val="nil"/>
          <w:tl2br w:val="nil"/>
          <w:tr2bl w:val="nil"/>
        </w:tcBorders>
        <w:shd w:val="clear" w:color="auto" w:fill="9BBB59" w:themeFill="accent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56385">
      <w:bodyDiv w:val="1"/>
      <w:marLeft w:val="0"/>
      <w:marRight w:val="0"/>
      <w:marTop w:val="0"/>
      <w:marBottom w:val="0"/>
      <w:divBdr>
        <w:top w:val="none" w:sz="0" w:space="0" w:color="auto"/>
        <w:left w:val="none" w:sz="0" w:space="0" w:color="auto"/>
        <w:bottom w:val="none" w:sz="0" w:space="0" w:color="auto"/>
        <w:right w:val="none" w:sz="0" w:space="0" w:color="auto"/>
      </w:divBdr>
    </w:div>
    <w:div w:id="586157647">
      <w:bodyDiv w:val="1"/>
      <w:marLeft w:val="0"/>
      <w:marRight w:val="0"/>
      <w:marTop w:val="0"/>
      <w:marBottom w:val="0"/>
      <w:divBdr>
        <w:top w:val="none" w:sz="0" w:space="0" w:color="auto"/>
        <w:left w:val="none" w:sz="0" w:space="0" w:color="auto"/>
        <w:bottom w:val="none" w:sz="0" w:space="0" w:color="auto"/>
        <w:right w:val="none" w:sz="0" w:space="0" w:color="auto"/>
      </w:divBdr>
    </w:div>
    <w:div w:id="741879261">
      <w:bodyDiv w:val="1"/>
      <w:marLeft w:val="0"/>
      <w:marRight w:val="0"/>
      <w:marTop w:val="0"/>
      <w:marBottom w:val="0"/>
      <w:divBdr>
        <w:top w:val="none" w:sz="0" w:space="0" w:color="auto"/>
        <w:left w:val="none" w:sz="0" w:space="0" w:color="auto"/>
        <w:bottom w:val="none" w:sz="0" w:space="0" w:color="auto"/>
        <w:right w:val="none" w:sz="0" w:space="0" w:color="auto"/>
      </w:divBdr>
    </w:div>
    <w:div w:id="1251622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yngenta.com/sustaina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904</Words>
  <Characters>5158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2</cp:revision>
  <dcterms:created xsi:type="dcterms:W3CDTF">2026-07-28T16:19:00Z</dcterms:created>
  <dcterms:modified xsi:type="dcterms:W3CDTF">2026-07-28T16:19:00Z</dcterms:modified>
</cp:coreProperties>
</file>