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A6DB" w14:textId="77777777" w:rsidR="00C15F4B" w:rsidRDefault="004555C1">
      <w:pPr>
        <w:jc w:val="center"/>
        <w:rPr>
          <w:b/>
          <w:bCs/>
        </w:rPr>
      </w:pPr>
      <w:r>
        <w:rPr>
          <w:b/>
          <w:bCs/>
        </w:rPr>
        <w:t>Cultivos de servicios y rotación con crucíferas, apuestas en revisión para más diversificación y biodiversidad</w:t>
      </w:r>
    </w:p>
    <w:p w14:paraId="68141472" w14:textId="77777777" w:rsidR="00C15F4B" w:rsidRDefault="00C15F4B">
      <w:pPr>
        <w:jc w:val="center"/>
        <w:rPr>
          <w:b/>
          <w:bCs/>
        </w:rPr>
      </w:pPr>
    </w:p>
    <w:p w14:paraId="6561410A" w14:textId="77777777" w:rsidR="00C15F4B" w:rsidRDefault="004555C1">
      <w:pPr>
        <w:tabs>
          <w:tab w:val="left" w:pos="1038"/>
        </w:tabs>
        <w:spacing w:after="120" w:line="240" w:lineRule="auto"/>
        <w:jc w:val="center"/>
        <w:rPr>
          <w:i/>
          <w:iCs/>
        </w:rPr>
      </w:pPr>
      <w:r>
        <w:rPr>
          <w:i/>
          <w:iCs/>
        </w:rPr>
        <w:t>Especialistas compartieron novedades y hallazgos sobre estas opciones de diversificación. Destacan que la superficie cultivada de brasicáceas “está camino a triplicarse”, mientras que Gervasio Piñeiro recomienda "No casarse con la vicia y el centeno”.</w:t>
      </w:r>
    </w:p>
    <w:p w14:paraId="7717E3CA" w14:textId="77777777" w:rsidR="00C15F4B" w:rsidRDefault="00C15F4B">
      <w:pPr>
        <w:tabs>
          <w:tab w:val="left" w:pos="1038"/>
        </w:tabs>
        <w:spacing w:after="120" w:line="240" w:lineRule="auto"/>
        <w:jc w:val="both"/>
      </w:pPr>
    </w:p>
    <w:p w14:paraId="6A8AA92D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La inclusión de cultivos de servicios y de diferentes opciones de la familia de las crucíferas, - como colza, carinata y camelina -, en la rotación, </w:t>
      </w:r>
      <w:r>
        <w:t xml:space="preserve">arroja beneficios productivos y ambientales prometedores. Con cifras, datos y nuevos hallazgos, especialistas del sector abordaron el fenómeno en el marco del segundo día del </w:t>
      </w:r>
      <w:r>
        <w:rPr>
          <w:b/>
          <w:bCs/>
        </w:rPr>
        <w:t>Congreso Aapresid 2026 con la fuerza de Expoagro</w:t>
      </w:r>
      <w:r>
        <w:t>, el encuentro de la innovación a</w:t>
      </w:r>
      <w:r>
        <w:t>gropecuaria.</w:t>
      </w:r>
    </w:p>
    <w:p w14:paraId="648919A8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Fue en el marco de dos paneles. Por un lado, “</w:t>
      </w:r>
      <w:r>
        <w:rPr>
          <w:b/>
          <w:bCs/>
        </w:rPr>
        <w:t>¿Cómo y por qué incorporar crucíferas a los sistemas de producción?”</w:t>
      </w:r>
      <w:r>
        <w:t xml:space="preserve">, integrado por </w:t>
      </w:r>
      <w:r>
        <w:rPr>
          <w:b/>
          <w:bCs/>
        </w:rPr>
        <w:t>Leonardo Coll (INTA Paraná)</w:t>
      </w:r>
      <w:r>
        <w:t xml:space="preserve">, </w:t>
      </w:r>
      <w:r>
        <w:rPr>
          <w:b/>
          <w:bCs/>
        </w:rPr>
        <w:t>Cesar Martins Mogo</w:t>
      </w:r>
      <w:r>
        <w:t xml:space="preserve"> y </w:t>
      </w:r>
      <w:r>
        <w:rPr>
          <w:b/>
          <w:bCs/>
        </w:rPr>
        <w:t>Adrián Moriconi (Aapresid)</w:t>
      </w:r>
      <w:r>
        <w:t xml:space="preserve"> en la </w:t>
      </w:r>
      <w:r>
        <w:rPr>
          <w:b/>
          <w:bCs/>
        </w:rPr>
        <w:t>Sala Suelo Vivo</w:t>
      </w:r>
      <w:r>
        <w:t>. Y, por el otr</w:t>
      </w:r>
      <w:r>
        <w:t xml:space="preserve">o, </w:t>
      </w:r>
      <w:r>
        <w:rPr>
          <w:b/>
          <w:bCs/>
        </w:rPr>
        <w:t>“Cultivos de servicios: estrategias de manejo y perspectivas de uso según el ambiente”</w:t>
      </w:r>
      <w:r>
        <w:t xml:space="preserve">, a cargo de </w:t>
      </w:r>
      <w:r>
        <w:rPr>
          <w:b/>
          <w:bCs/>
        </w:rPr>
        <w:t>Viviana Bondaruk</w:t>
      </w:r>
      <w:r>
        <w:t xml:space="preserve"> y </w:t>
      </w:r>
      <w:r>
        <w:rPr>
          <w:b/>
          <w:bCs/>
        </w:rPr>
        <w:t>Gervasio Piñeiro (FAUBA)</w:t>
      </w:r>
      <w:r>
        <w:t>.</w:t>
      </w:r>
    </w:p>
    <w:p w14:paraId="7AAA3AF6" w14:textId="77777777" w:rsidR="00C15F4B" w:rsidRDefault="004555C1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Piñeiro: “No nos casemos con la vicia y el centeno”</w:t>
      </w:r>
    </w:p>
    <w:p w14:paraId="6FA4F603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En el caso de los </w:t>
      </w:r>
      <w:r>
        <w:rPr>
          <w:b/>
          <w:bCs/>
        </w:rPr>
        <w:t>cultivos de servicios</w:t>
      </w:r>
      <w:r>
        <w:t>, Piñeiro se refir</w:t>
      </w:r>
      <w:r>
        <w:t xml:space="preserve">ió a los últimos resultados de la </w:t>
      </w:r>
      <w:r>
        <w:rPr>
          <w:b/>
          <w:bCs/>
        </w:rPr>
        <w:t>Red de Cultivos de Servicios Aapresid,</w:t>
      </w:r>
      <w:r>
        <w:t xml:space="preserve"> que lleva casi 10 años de investigación, revelando datos que llegan para desandar algunas prácticas y validar otras. Los datos obtenidos no solo desafían paradigmas sobre el consumo d</w:t>
      </w:r>
      <w:r>
        <w:t>e agua, sino que además abren la puerta a una mayor</w:t>
      </w:r>
      <w:r>
        <w:rPr>
          <w:i/>
          <w:iCs/>
        </w:rPr>
        <w:t xml:space="preserve"> “diversificación de especies”</w:t>
      </w:r>
      <w:r>
        <w:t xml:space="preserve"> y a un manejo más eficiente de la densidad de siembra en cada zona.</w:t>
      </w:r>
    </w:p>
    <w:p w14:paraId="267EBAAA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rPr>
          <w:i/>
          <w:iCs/>
        </w:rPr>
        <w:t>“Con el foco puesto en la diversificación, exploramos alternativas como melilotus, avena negra, raigrás, t</w:t>
      </w:r>
      <w:r>
        <w:rPr>
          <w:i/>
          <w:iCs/>
        </w:rPr>
        <w:t xml:space="preserve">riticale y trigo, demostrando que </w:t>
      </w:r>
      <w:r>
        <w:rPr>
          <w:b/>
          <w:bCs/>
          <w:i/>
          <w:iCs/>
        </w:rPr>
        <w:t>es posible romper el “monocultivo” vicia-centeno manteniendo los beneficios sistémicos</w:t>
      </w:r>
      <w:r>
        <w:rPr>
          <w:i/>
          <w:iCs/>
        </w:rPr>
        <w:t>”</w:t>
      </w:r>
      <w:r>
        <w:t xml:space="preserve">, indicó Piñeiro, quien transmitió un mensaje unívoco: </w:t>
      </w:r>
      <w:r>
        <w:rPr>
          <w:i/>
          <w:iCs/>
        </w:rPr>
        <w:t>"</w:t>
      </w:r>
      <w:r>
        <w:rPr>
          <w:b/>
          <w:bCs/>
          <w:i/>
          <w:iCs/>
        </w:rPr>
        <w:t>No nos casemos con la vicia y el centeno</w:t>
      </w:r>
      <w:r>
        <w:rPr>
          <w:i/>
          <w:iCs/>
        </w:rPr>
        <w:t>. Existen alternativas para cada región</w:t>
      </w:r>
      <w:r>
        <w:rPr>
          <w:i/>
          <w:iCs/>
        </w:rPr>
        <w:t xml:space="preserve"> con resultados excelentes”.</w:t>
      </w:r>
    </w:p>
    <w:p w14:paraId="66CBE30C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Desde una perspectiva regional, de acuerdo con los datos relevados en el norte del país, el especialista aseguró que</w:t>
      </w:r>
      <w:r>
        <w:rPr>
          <w:b/>
          <w:bCs/>
        </w:rPr>
        <w:t xml:space="preserve"> el trigo </w:t>
      </w:r>
      <w:r>
        <w:rPr>
          <w:b/>
          <w:bCs/>
          <w:i/>
          <w:iCs/>
        </w:rPr>
        <w:t>“se consolida como un excelente cultivo de servicios</w:t>
      </w:r>
      <w:r>
        <w:rPr>
          <w:i/>
          <w:iCs/>
        </w:rPr>
        <w:t xml:space="preserve"> frente al centeno, mientras que la avena negra m</w:t>
      </w:r>
      <w:r>
        <w:rPr>
          <w:i/>
          <w:iCs/>
        </w:rPr>
        <w:t>ostró un desempeño sobresaliente incluso en zonas secas del oeste”.</w:t>
      </w:r>
    </w:p>
    <w:p w14:paraId="36D234A7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Asimismo, otro hallazgo que llega para reformular lo que se conocía hasta ahora es que, si bien </w:t>
      </w:r>
      <w:r>
        <w:rPr>
          <w:b/>
          <w:bCs/>
        </w:rPr>
        <w:t>se creía que el suelo acumula agua durante el barbecho largo, los datos mostraron lo contrar</w:t>
      </w:r>
      <w:r>
        <w:rPr>
          <w:b/>
          <w:bCs/>
        </w:rPr>
        <w:t>io</w:t>
      </w:r>
      <w:r>
        <w:t>. "</w:t>
      </w:r>
      <w:r>
        <w:rPr>
          <w:i/>
          <w:iCs/>
        </w:rPr>
        <w:t>El barbecho largo es ineficiente: se pierden casi 250 milímetros de agua que podría aprovechar mejor un cultivo de servicios para mejorar la infiltración y el rinde del cultivo de renta posterior"</w:t>
      </w:r>
      <w:r>
        <w:t>, explicó Piñeiro.</w:t>
      </w:r>
    </w:p>
    <w:p w14:paraId="393AB6B9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En ese sentido, aseguró que la clave</w:t>
      </w:r>
      <w:r>
        <w:t xml:space="preserve"> reside en hacer un </w:t>
      </w:r>
      <w:r>
        <w:rPr>
          <w:i/>
          <w:iCs/>
        </w:rPr>
        <w:t>"barbechito"</w:t>
      </w:r>
      <w:r>
        <w:t xml:space="preserve">, acortando el periodo entre el secado del cultivo de servicios y la siembra del cultivo de renta. </w:t>
      </w:r>
      <w:r>
        <w:rPr>
          <w:i/>
          <w:iCs/>
        </w:rPr>
        <w:t xml:space="preserve">"Si se hace bien el cultivo de servicios, se llega con la misma o más agua al cultivo de renta, porque </w:t>
      </w:r>
      <w:r>
        <w:rPr>
          <w:b/>
          <w:bCs/>
          <w:i/>
          <w:iCs/>
        </w:rPr>
        <w:t>el barbechito mejora l</w:t>
      </w:r>
      <w:r>
        <w:rPr>
          <w:b/>
          <w:bCs/>
          <w:i/>
          <w:iCs/>
        </w:rPr>
        <w:t>a infiltración y la captura</w:t>
      </w:r>
      <w:r>
        <w:rPr>
          <w:i/>
          <w:iCs/>
        </w:rPr>
        <w:t>"</w:t>
      </w:r>
      <w:r>
        <w:t>, profundizó el referente de FAUBA.</w:t>
      </w:r>
    </w:p>
    <w:p w14:paraId="1C8098B2" w14:textId="77777777" w:rsidR="00C15F4B" w:rsidRDefault="00C15F4B">
      <w:pPr>
        <w:tabs>
          <w:tab w:val="left" w:pos="1038"/>
        </w:tabs>
        <w:spacing w:after="120" w:line="240" w:lineRule="auto"/>
        <w:jc w:val="both"/>
      </w:pPr>
    </w:p>
    <w:p w14:paraId="0C6EB511" w14:textId="77777777" w:rsidR="00C15F4B" w:rsidRDefault="004555C1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Beneficios de las brasicáceas</w:t>
      </w:r>
    </w:p>
    <w:p w14:paraId="3C043EF0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Con relación a la rotación con crucíferas, los espe</w:t>
      </w:r>
      <w:r>
        <w:t xml:space="preserve">cialistas enfatizaron que, en el marco de </w:t>
      </w:r>
      <w:r>
        <w:rPr>
          <w:b/>
          <w:bCs/>
        </w:rPr>
        <w:t>una tendencia hacia la intensificación y diversificación sustentable</w:t>
      </w:r>
      <w:r>
        <w:t>,</w:t>
      </w:r>
      <w:r>
        <w:rPr>
          <w:b/>
          <w:bCs/>
        </w:rPr>
        <w:t xml:space="preserve"> estos cultivos están ganando un protagonismo inédito</w:t>
      </w:r>
      <w:r>
        <w:t xml:space="preserve"> en las secuencias agrícolas argentinas. Según </w:t>
      </w:r>
      <w:r>
        <w:rPr>
          <w:b/>
          <w:bCs/>
        </w:rPr>
        <w:t>Leonardo Coll</w:t>
      </w:r>
      <w:r>
        <w:t xml:space="preserve">, </w:t>
      </w:r>
      <w:r>
        <w:rPr>
          <w:i/>
          <w:iCs/>
        </w:rPr>
        <w:t xml:space="preserve">“este año la superficie cultivada en el país está en camino a triplicarse, en </w:t>
      </w:r>
      <w:r>
        <w:rPr>
          <w:i/>
          <w:iCs/>
        </w:rPr>
        <w:lastRenderedPageBreak/>
        <w:t>comparación con la campaña anterior”</w:t>
      </w:r>
      <w:r>
        <w:t>, impulsada por una rentabilidad atractiva y beneficios sistémicos que mejoran la salud del suelo a mediano plazo.</w:t>
      </w:r>
    </w:p>
    <w:p w14:paraId="09EF4293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Uno de los aportes más dest</w:t>
      </w:r>
      <w:r>
        <w:t>acados de estas especies, según el referente de INTA Paraná, es</w:t>
      </w:r>
      <w:r>
        <w:rPr>
          <w:b/>
          <w:bCs/>
        </w:rPr>
        <w:t xml:space="preserve"> su capacidad para mejorar la estructura física del suelo</w:t>
      </w:r>
      <w:r>
        <w:t xml:space="preserve">, ya que su sistema radicular actúa como una herramienta de ingeniería natural. </w:t>
      </w:r>
    </w:p>
    <w:p w14:paraId="3AD9BC85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rPr>
          <w:i/>
          <w:iCs/>
        </w:rPr>
        <w:t xml:space="preserve">“Poseen una raíz principal que, al degradarse, una vez </w:t>
      </w:r>
      <w:r>
        <w:rPr>
          <w:i/>
          <w:iCs/>
        </w:rPr>
        <w:t>cosechado el cultivo, genera una serie de canales naturales, descompactación, dotando a los suelos de mayor fertilidad física y capacidad de infiltración de agua"</w:t>
      </w:r>
      <w:r>
        <w:t>, precisó Coll.</w:t>
      </w:r>
    </w:p>
    <w:p w14:paraId="4E222038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Además, las brasicáceas favorecen un </w:t>
      </w:r>
      <w:r>
        <w:rPr>
          <w:i/>
          <w:iCs/>
        </w:rPr>
        <w:t>“reciclado de nutrientes más ágil”</w:t>
      </w:r>
      <w:r>
        <w:t>, al po</w:t>
      </w:r>
      <w:r>
        <w:t xml:space="preserve">seer una </w:t>
      </w:r>
      <w:r>
        <w:rPr>
          <w:b/>
          <w:bCs/>
        </w:rPr>
        <w:t>relación carbono-nitrógeno menor que la de los cereales</w:t>
      </w:r>
      <w:r>
        <w:t>, y evitan la inmovilización de nutrientes, permitiendo que los cultivos de segunda encuentren mayor disponibilidad de recursos.</w:t>
      </w:r>
    </w:p>
    <w:p w14:paraId="0E3ADF63" w14:textId="77777777" w:rsidR="00C15F4B" w:rsidRDefault="004555C1">
      <w:pPr>
        <w:tabs>
          <w:tab w:val="left" w:pos="1038"/>
        </w:tabs>
        <w:spacing w:after="120" w:line="240" w:lineRule="auto"/>
        <w:jc w:val="both"/>
        <w:rPr>
          <w:i/>
          <w:iCs/>
        </w:rPr>
      </w:pPr>
      <w:r>
        <w:t>Del mismo modo, el especialista destacó que su inclusión permit</w:t>
      </w:r>
      <w:r>
        <w:t xml:space="preserve">e </w:t>
      </w:r>
      <w:r>
        <w:rPr>
          <w:i/>
          <w:iCs/>
        </w:rPr>
        <w:t>“cubrir el suelo, aprovechar la radiación solar y las precipitaciones que de otro modo se perderían”</w:t>
      </w:r>
      <w:r>
        <w:t xml:space="preserve">, y recomendó su inclusión porque </w:t>
      </w:r>
      <w:r>
        <w:rPr>
          <w:i/>
          <w:iCs/>
        </w:rPr>
        <w:t>“facilitan el manejo sistémico de malezas por competencia, reduciendo la necesidad de altas cargas de herbicidas”.</w:t>
      </w:r>
    </w:p>
    <w:p w14:paraId="0C8D5108" w14:textId="77777777" w:rsidR="00C15F4B" w:rsidRDefault="004555C1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Un mercado en expansión</w:t>
      </w:r>
    </w:p>
    <w:p w14:paraId="246A4DC4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>A nivel global, la colza se posiciona como la segunda oleaginosa en importancia, superando al girasol. Uruguay, aseguró el refe</w:t>
      </w:r>
      <w:r>
        <w:t>rente, lidera la incorporación de brasicáceas, especies que</w:t>
      </w:r>
      <w:r>
        <w:rPr>
          <w:b/>
          <w:bCs/>
        </w:rPr>
        <w:t xml:space="preserve"> ya ocupan un tercio de los cultivos de invierno</w:t>
      </w:r>
      <w:r>
        <w:t xml:space="preserve">. En Argentina, además de la colza, </w:t>
      </w:r>
      <w:r>
        <w:rPr>
          <w:i/>
          <w:iCs/>
        </w:rPr>
        <w:t>“ganan terreno especialidades como la carinata y la camelina, orientadas a demandas específicas del mercado inter</w:t>
      </w:r>
      <w:r>
        <w:rPr>
          <w:i/>
          <w:iCs/>
        </w:rPr>
        <w:t>nacional”</w:t>
      </w:r>
      <w:r>
        <w:t>.</w:t>
      </w:r>
    </w:p>
    <w:p w14:paraId="1D3611FA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Según el experto </w:t>
      </w:r>
      <w:r>
        <w:rPr>
          <w:i/>
          <w:iCs/>
        </w:rPr>
        <w:t>"la demanda es muy buena, la rentabilidad es muy buena y cada vez hay más productores que se animan a probar estos cultivos”</w:t>
      </w:r>
    </w:p>
    <w:p w14:paraId="3E5C5905" w14:textId="77777777" w:rsidR="00C15F4B" w:rsidRDefault="004555C1">
      <w:pPr>
        <w:tabs>
          <w:tab w:val="left" w:pos="1038"/>
        </w:tabs>
        <w:spacing w:after="120" w:line="240" w:lineRule="auto"/>
        <w:jc w:val="both"/>
      </w:pPr>
      <w:r>
        <w:t xml:space="preserve">Para profundizar en el conocimiento técnico y las experiencias productivas, Coll anunció la realización del </w:t>
      </w:r>
      <w:r>
        <w:rPr>
          <w:b/>
          <w:bCs/>
        </w:rPr>
        <w:t>“4° Simposio Latinoamericano de Canola y otras Brasicáceas”</w:t>
      </w:r>
      <w:r>
        <w:t xml:space="preserve">, que tendrá lugar en la ciudad de Paraná en septiembre de 2027. </w:t>
      </w:r>
    </w:p>
    <w:sectPr w:rsidR="00C15F4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39AD" w14:textId="77777777" w:rsidR="004555C1" w:rsidRDefault="004555C1">
      <w:pPr>
        <w:spacing w:line="240" w:lineRule="auto"/>
      </w:pPr>
      <w:r>
        <w:separator/>
      </w:r>
    </w:p>
  </w:endnote>
  <w:endnote w:type="continuationSeparator" w:id="0">
    <w:p w14:paraId="1C4657A7" w14:textId="77777777" w:rsidR="004555C1" w:rsidRDefault="00455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A078902-A4AC-424A-8D99-C0CFE7E4E8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40E2CC4-2FC9-4FC4-BAA7-259E7F8FD6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9B3D" w14:textId="77777777" w:rsidR="00C15F4B" w:rsidRDefault="00C15F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EA78" w14:textId="77777777" w:rsidR="004555C1" w:rsidRDefault="004555C1">
      <w:pPr>
        <w:spacing w:line="240" w:lineRule="auto"/>
      </w:pPr>
      <w:r>
        <w:separator/>
      </w:r>
    </w:p>
  </w:footnote>
  <w:footnote w:type="continuationSeparator" w:id="0">
    <w:p w14:paraId="38A56BA7" w14:textId="77777777" w:rsidR="004555C1" w:rsidRDefault="00455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3515" w14:textId="77777777" w:rsidR="00C15F4B" w:rsidRDefault="004555C1">
    <w:r>
      <w:rPr>
        <w:noProof/>
      </w:rPr>
      <w:drawing>
        <wp:anchor distT="0" distB="0" distL="0" distR="0" simplePos="0" relativeHeight="251658240" behindDoc="1" locked="0" layoutInCell="1" hidden="0" allowOverlap="1" wp14:anchorId="3A6CAF2F" wp14:editId="76896939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4B"/>
    <w:rsid w:val="004555C1"/>
    <w:rsid w:val="00965BC5"/>
    <w:rsid w:val="00C1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632F"/>
  <w15:docId w15:val="{B1666C6D-EC3F-4991-8C02-6B5AA3FC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0FIPVan94em0e4XSLDOhEVJ+g==">CgMxLjA4AHIhMVBOSjQtRklTWjJDcmUzeDdhWG5ZV3c1WnpNRTBUOWRw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2026-08-07T14:07:00Z</dcterms:created>
  <dcterms:modified xsi:type="dcterms:W3CDTF">2026-08-07T14:08:00Z</dcterms:modified>
</cp:coreProperties>
</file>