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2CC77" w14:textId="08811866" w:rsidR="00B0654C" w:rsidRDefault="00B0654C" w:rsidP="00B0654C">
      <w:pPr>
        <w:pBdr>
          <w:top w:val="nil"/>
          <w:left w:val="nil"/>
          <w:bottom w:val="nil"/>
          <w:right w:val="nil"/>
          <w:between w:val="nil"/>
        </w:pBdr>
        <w:spacing w:after="200"/>
        <w:jc w:val="center"/>
        <w:rPr>
          <w:rFonts w:ascii="Noto Sans Disp ExtLt" w:eastAsia="Noto Sans Disp ExtLt" w:hAnsi="Noto Sans Disp ExtLt" w:cs="Noto Sans Disp ExtLt"/>
          <w:sz w:val="36"/>
          <w:szCs w:val="36"/>
        </w:rPr>
      </w:pPr>
      <w:r>
        <w:rPr>
          <w:rFonts w:ascii="Noto Sans Disp ExtLt" w:eastAsia="Noto Sans Disp ExtLt" w:hAnsi="Noto Sans Disp ExtLt" w:cs="Noto Sans Disp ExtLt"/>
          <w:sz w:val="36"/>
          <w:szCs w:val="36"/>
        </w:rPr>
        <w:t xml:space="preserve">UPL presenta en Expoagro </w:t>
      </w:r>
      <w:r w:rsidR="0087721E">
        <w:rPr>
          <w:rFonts w:ascii="Noto Sans Disp ExtLt" w:eastAsia="Noto Sans Disp ExtLt" w:hAnsi="Noto Sans Disp ExtLt" w:cs="Noto Sans Disp ExtLt"/>
          <w:sz w:val="36"/>
          <w:szCs w:val="36"/>
        </w:rPr>
        <w:t xml:space="preserve">Digital </w:t>
      </w:r>
      <w:r>
        <w:rPr>
          <w:rFonts w:ascii="Noto Sans Disp ExtLt" w:eastAsia="Noto Sans Disp ExtLt" w:hAnsi="Noto Sans Disp ExtLt" w:cs="Noto Sans Disp ExtLt"/>
          <w:sz w:val="36"/>
          <w:szCs w:val="36"/>
        </w:rPr>
        <w:t>su centro de innovación colaborativa</w:t>
      </w:r>
    </w:p>
    <w:p w14:paraId="3BEAB1BF" w14:textId="77777777" w:rsidR="00B0654C" w:rsidRPr="00B34AB5" w:rsidRDefault="00B0654C" w:rsidP="00B34AB5">
      <w:pPr>
        <w:pBdr>
          <w:top w:val="nil"/>
          <w:left w:val="nil"/>
          <w:bottom w:val="nil"/>
          <w:right w:val="nil"/>
          <w:between w:val="nil"/>
        </w:pBdr>
        <w:spacing w:line="245" w:lineRule="auto"/>
        <w:jc w:val="center"/>
        <w:rPr>
          <w:rFonts w:ascii="Noto Sans Light" w:eastAsia="Noto Sans Light" w:hAnsi="Noto Sans Light" w:cs="Noto Sans Light"/>
          <w:i/>
          <w:sz w:val="24"/>
        </w:rPr>
      </w:pPr>
      <w:bookmarkStart w:id="0" w:name="_30j0zll" w:colFirst="0" w:colLast="0"/>
      <w:bookmarkEnd w:id="0"/>
      <w:r w:rsidRPr="00B34AB5">
        <w:rPr>
          <w:rFonts w:ascii="Noto Sans Light" w:eastAsia="Noto Sans Light" w:hAnsi="Noto Sans Light" w:cs="Noto Sans Light"/>
          <w:i/>
          <w:sz w:val="24"/>
        </w:rPr>
        <w:t>Se trata del OpenAg Center, un espacio de incubación, desarrollo y transferencia de nuevas tecnologías para una agricultura sostenible. Adrian Percy, director de tecnología de UPL, presentará desde Estados Unidos esta nueva ventana de crecimiento para el mundo.</w:t>
      </w:r>
    </w:p>
    <w:p w14:paraId="35B1AEED"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i/>
          <w:sz w:val="24"/>
        </w:rPr>
      </w:pPr>
    </w:p>
    <w:p w14:paraId="7C9078F6" w14:textId="2F88D559"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UPL presentará en Expoagro Digital el recientemente inaugurado OpenAg Center, el hogar de la innovación agrícola colaborativa, un nuevo paso de la compañía que demuestra su compromiso con el propósito OpenAg, de crear una red agrícola global que alimente el crecimiento sostenible para todos.</w:t>
      </w:r>
    </w:p>
    <w:p w14:paraId="4D7D5E6B"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 xml:space="preserve">  </w:t>
      </w:r>
    </w:p>
    <w:p w14:paraId="5D9BFBD2"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 xml:space="preserve">En este espacio ubicado en el Centro Alexandría de Agtech, dentro del Triángulo de Investigación de Carolina del Norte - Research Triangle Park (RTP)-, UPL ha comenzado a escribir una nueva etapa en la historia de la investigación agrícola. </w:t>
      </w:r>
    </w:p>
    <w:p w14:paraId="44189608"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El Research Triangle Park es el </w:t>
      </w:r>
      <w:hyperlink r:id="rId6" w:tooltip="Parque Científico" w:history="1">
        <w:r w:rsidRPr="00B34AB5">
          <w:rPr>
            <w:rFonts w:ascii="Noto Sans Light" w:eastAsia="Noto Sans Light" w:hAnsi="Noto Sans Light" w:cs="Noto Sans Light"/>
            <w:sz w:val="24"/>
          </w:rPr>
          <w:t>parque de investigación</w:t>
        </w:r>
      </w:hyperlink>
      <w:r w:rsidRPr="00B34AB5">
        <w:rPr>
          <w:rFonts w:ascii="Noto Sans Light" w:eastAsia="Noto Sans Light" w:hAnsi="Noto Sans Light" w:cs="Noto Sans Light"/>
          <w:sz w:val="24"/>
        </w:rPr>
        <w:t> más </w:t>
      </w:r>
      <w:hyperlink r:id="rId7" w:tooltip="Science park" w:history="1">
        <w:r w:rsidRPr="00B34AB5">
          <w:rPr>
            <w:rFonts w:ascii="Noto Sans Light" w:eastAsia="Noto Sans Light" w:hAnsi="Noto Sans Light" w:cs="Noto Sans Light"/>
            <w:sz w:val="24"/>
          </w:rPr>
          <w:t>grande</w:t>
        </w:r>
      </w:hyperlink>
      <w:r w:rsidRPr="00B34AB5">
        <w:rPr>
          <w:rFonts w:ascii="Noto Sans Light" w:eastAsia="Noto Sans Light" w:hAnsi="Noto Sans Light" w:cs="Noto Sans Light"/>
          <w:sz w:val="24"/>
        </w:rPr>
        <w:t> de los Estados Unidos y está inmerso en un ecosistema educativo impulsado por la cercanía con la Universidad de Duke, la Universidad Estatal de Carolina del Norte y la Universidad de Carolina del Norte en Chapel Hill.</w:t>
      </w:r>
    </w:p>
    <w:p w14:paraId="7E409C93"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0FC3B448"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 xml:space="preserve">En este centro de investigación y desarrollo de vanguardia de casi 14.000 metros cuadrados, UPL cuenta con laboratorios de alta tecnología y un equipo de científicos especializados en soluciones para la agricultura basadas en la biología y en la química. Las innovaciones allí desarrolladas se orientan a los segmentos de fungicidas, insecticidas, herbicidas, establecimiento de cultivos y biológicos. Pero el verdadero objetivo de UPL es crear asociaciones simbióticas basadas en la innovación colaborativa. Para esto, convoca a la presentación de propuestas por parte de diversos eslabones de la cadena agrícola mundial que deseen probar, refinar, escalar y lanzar nuevas tecnologías que impacten positivamente en la sostenibilidad y el crecimiento de la agricultura. </w:t>
      </w:r>
    </w:p>
    <w:p w14:paraId="61E7F1D1"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1A34B997"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"Nuestros sistemas de producción de alimentos necesitan una reorganización", afirma Adrian Percy, director de tecnología de UPL, quien hará su presentación en Expoagro Digital, el 9 y 10 de septiembre. "La agricultura necesita urgentemente una transformación y el ritmo dolorosamente lento de la innovación tecnológica y la implementación en los campos no pueden continuar. Nuestro propósito de OpenAg busca derribar límites y fronteras para crear asociaciones que transformen la agricultura entregando un valor amplio en toda la red de producción de alimentos”, sostiene.</w:t>
      </w:r>
    </w:p>
    <w:p w14:paraId="73C0A773"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40E4DF90"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 xml:space="preserve">El OpenAg Center en RTP es el punto de convergencia de los proyectos AgTech con la red global de laboratorios y las pruebas a campo y evaluaciones realizadas por las Estaciones Agrícolas para Investigación y Desarrollo (ARDS) de UPL. Impulsando el conocimiento multidisciplinario, la compañía trabaja en caracterizar las nuevas tecnologías necesarias para un desarrollo rápido de los proyectos. </w:t>
      </w:r>
    </w:p>
    <w:p w14:paraId="276169A9"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5F1F43C5"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Para ello, el camino es la colaboración. Desde este Centro, UPL busca identificar innovaciones con potencial comercial, incubar nuevas tecnologías y moldear otras, guiar en los sistemas globales de regulación y trabajar con la red global que UPL posee para transferir la tecnología a los agricultores, consultores y a todo el sistema de producción. En este camino, el equipo ya está trabajando en 125 nuevas tecnologías y 62 proyectos iniciados este año.</w:t>
      </w:r>
    </w:p>
    <w:p w14:paraId="4D77D26E"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08D09517"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b/>
          <w:sz w:val="24"/>
        </w:rPr>
      </w:pPr>
      <w:r w:rsidRPr="00B34AB5">
        <w:rPr>
          <w:rFonts w:ascii="Noto Sans Light" w:eastAsia="Noto Sans Light" w:hAnsi="Noto Sans Light" w:cs="Noto Sans Light"/>
          <w:b/>
          <w:sz w:val="24"/>
        </w:rPr>
        <w:t>Oportunidades en el stand</w:t>
      </w:r>
    </w:p>
    <w:p w14:paraId="44F43FA3"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693A3777"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Quienes visiten el stand de UPL, auspiciante del rubro Protección de Cultivos en Expoagro Digital, podrán conocer la oferta de soluciones biológicas y químicas que ofrece la compañía con un fuerte foco en el manejo de resistencias de malezas y hongos, y el aporte de biosoluciones.</w:t>
      </w:r>
    </w:p>
    <w:p w14:paraId="796EB59B" w14:textId="77777777" w:rsidR="00B0654C" w:rsidRPr="00B34AB5"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2739F24C" w14:textId="7477A748" w:rsidR="00B0654C" w:rsidRDefault="00B0654C"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sidRPr="00B34AB5">
        <w:rPr>
          <w:rFonts w:ascii="Noto Sans Light" w:eastAsia="Noto Sans Light" w:hAnsi="Noto Sans Light" w:cs="Noto Sans Light"/>
          <w:sz w:val="24"/>
        </w:rPr>
        <w:t xml:space="preserve">A su vez, podrán tomar contacto con los referentes de la empresa y aprovechar la propuesta diseñada para el Agroshock de ofertas: quienes adquieran fungicida Tridium para el tratamiento de 30 hectáreas de trigo podrán llevarse gratis el producto para el control de enfermedades en 10 hectáreas más. Tridium es un fungicida triple mezcla, sistémico y multisitio que combina tres modos de acción diferentes y de esta forma previene la generación de resistencias. </w:t>
      </w:r>
    </w:p>
    <w:p w14:paraId="2D597942" w14:textId="77777777" w:rsidR="00B34AB5" w:rsidRDefault="00B34AB5" w:rsidP="00B34AB5">
      <w:pPr>
        <w:pBdr>
          <w:top w:val="nil"/>
          <w:left w:val="nil"/>
          <w:bottom w:val="nil"/>
          <w:right w:val="nil"/>
          <w:between w:val="nil"/>
        </w:pBdr>
        <w:spacing w:line="245" w:lineRule="auto"/>
        <w:jc w:val="both"/>
        <w:rPr>
          <w:rFonts w:ascii="Noto Sans Light" w:eastAsia="Noto Sans Light" w:hAnsi="Noto Sans Light" w:cs="Noto Sans Light"/>
          <w:sz w:val="24"/>
        </w:rPr>
      </w:pPr>
    </w:p>
    <w:p w14:paraId="62829DDE" w14:textId="5A53893E" w:rsidR="00B34AB5" w:rsidRPr="00B34AB5" w:rsidRDefault="00B34AB5" w:rsidP="00B34AB5">
      <w:pPr>
        <w:pBdr>
          <w:top w:val="nil"/>
          <w:left w:val="nil"/>
          <w:bottom w:val="nil"/>
          <w:right w:val="nil"/>
          <w:between w:val="nil"/>
        </w:pBdr>
        <w:spacing w:line="245" w:lineRule="auto"/>
        <w:jc w:val="both"/>
        <w:rPr>
          <w:rFonts w:ascii="Noto Sans Light" w:eastAsia="Noto Sans Light" w:hAnsi="Noto Sans Light" w:cs="Noto Sans Light"/>
          <w:sz w:val="24"/>
        </w:rPr>
      </w:pPr>
      <w:r>
        <w:rPr>
          <w:rFonts w:ascii="Noto Sans Light" w:eastAsia="Noto Sans Light" w:hAnsi="Noto Sans Light" w:cs="Noto Sans Light"/>
          <w:sz w:val="24"/>
        </w:rPr>
        <w:t xml:space="preserve">Más información en: </w:t>
      </w:r>
      <w:hyperlink r:id="rId8" w:history="1">
        <w:r>
          <w:rPr>
            <w:rStyle w:val="Hipervnculo"/>
          </w:rPr>
          <w:t>https://www.expoagro.com.ar/expoagrodigital/</w:t>
        </w:r>
      </w:hyperlink>
    </w:p>
    <w:p w14:paraId="7511122A" w14:textId="77777777" w:rsidR="00B0654C" w:rsidRDefault="00B0654C" w:rsidP="00B0654C">
      <w:pPr>
        <w:pBdr>
          <w:top w:val="nil"/>
          <w:left w:val="nil"/>
          <w:bottom w:val="nil"/>
          <w:right w:val="nil"/>
          <w:between w:val="nil"/>
        </w:pBdr>
        <w:spacing w:line="245" w:lineRule="auto"/>
        <w:rPr>
          <w:rFonts w:ascii="Noto Sans Light" w:eastAsia="Noto Sans Light" w:hAnsi="Noto Sans Light" w:cs="Noto Sans Light"/>
          <w:sz w:val="20"/>
          <w:szCs w:val="20"/>
        </w:rPr>
      </w:pPr>
    </w:p>
    <w:sectPr w:rsidR="00B0654C" w:rsidSect="00B04005">
      <w:headerReference w:type="default" r:id="rId9"/>
      <w:footerReference w:type="default" r:id="rId10"/>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13906" w14:textId="77777777" w:rsidR="004C28AB" w:rsidRDefault="004C28AB" w:rsidP="00446CC9">
      <w:r>
        <w:separator/>
      </w:r>
    </w:p>
  </w:endnote>
  <w:endnote w:type="continuationSeparator" w:id="0">
    <w:p w14:paraId="584339DC" w14:textId="77777777" w:rsidR="004C28AB" w:rsidRDefault="004C28AB" w:rsidP="004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Disp ExtLt">
    <w:altName w:val="Calibri"/>
    <w:charset w:val="00"/>
    <w:family w:val="swiss"/>
    <w:pitch w:val="variable"/>
    <w:sig w:usb0="E00002FF" w:usb1="4000001F" w:usb2="08000029" w:usb3="00000000" w:csb0="00000001" w:csb1="00000000"/>
  </w:font>
  <w:font w:name="Noto Sans Light">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F5CCD" w14:textId="511235C5" w:rsidR="00446CC9" w:rsidRDefault="00727A3E" w:rsidP="00446CC9">
    <w:pPr>
      <w:pStyle w:val="Piedepgina"/>
      <w:tabs>
        <w:tab w:val="clear" w:pos="4252"/>
        <w:tab w:val="clear" w:pos="8504"/>
        <w:tab w:val="left" w:pos="3248"/>
      </w:tabs>
    </w:pPr>
    <w:r>
      <w:rPr>
        <w:noProof/>
        <w:lang w:eastAsia="es-AR"/>
      </w:rPr>
      <w:drawing>
        <wp:anchor distT="0" distB="0" distL="114300" distR="114300" simplePos="0" relativeHeight="251662848" behindDoc="1" locked="0" layoutInCell="1" allowOverlap="1" wp14:anchorId="3A858A22" wp14:editId="0894D73F">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301110D2" wp14:editId="19BF134C">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5253F744" wp14:editId="7A41CF6E">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49BFA619" wp14:editId="5853DFBA">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24BAC9D3" wp14:editId="2CDD62AB">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D003F" w14:textId="77777777" w:rsidR="004C28AB" w:rsidRDefault="004C28AB" w:rsidP="00446CC9">
      <w:r>
        <w:separator/>
      </w:r>
    </w:p>
  </w:footnote>
  <w:footnote w:type="continuationSeparator" w:id="0">
    <w:p w14:paraId="49188D39" w14:textId="77777777" w:rsidR="004C28AB" w:rsidRDefault="004C28AB" w:rsidP="0044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C0C5" w14:textId="4CDD7614" w:rsidR="00446CC9" w:rsidRDefault="00727A3E">
    <w:pPr>
      <w:pStyle w:val="Encabezado"/>
    </w:pPr>
    <w:r>
      <w:rPr>
        <w:noProof/>
        <w:lang w:eastAsia="es-AR"/>
      </w:rPr>
      <w:drawing>
        <wp:anchor distT="0" distB="0" distL="114300" distR="114300" simplePos="0" relativeHeight="251660800" behindDoc="1" locked="0" layoutInCell="1" allowOverlap="1" wp14:anchorId="30CCC3F0" wp14:editId="49BC290D">
          <wp:simplePos x="0" y="0"/>
          <wp:positionH relativeFrom="page">
            <wp:align>right</wp:align>
          </wp:positionH>
          <wp:positionV relativeFrom="paragraph">
            <wp:posOffset>-449580</wp:posOffset>
          </wp:positionV>
          <wp:extent cx="7553325" cy="1118870"/>
          <wp:effectExtent l="0" t="0" r="9525" b="5080"/>
          <wp:wrapTight wrapText="bothSides">
            <wp:wrapPolygon edited="0">
              <wp:start x="0" y="0"/>
              <wp:lineTo x="0" y="21330"/>
              <wp:lineTo x="21573" y="21330"/>
              <wp:lineTo x="215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188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85048"/>
    <w:rsid w:val="00185A6F"/>
    <w:rsid w:val="00251051"/>
    <w:rsid w:val="00287E46"/>
    <w:rsid w:val="00360600"/>
    <w:rsid w:val="003A3F11"/>
    <w:rsid w:val="003B3DD6"/>
    <w:rsid w:val="003D178B"/>
    <w:rsid w:val="00446CC9"/>
    <w:rsid w:val="004C28AB"/>
    <w:rsid w:val="004E1702"/>
    <w:rsid w:val="005221DF"/>
    <w:rsid w:val="00525E3A"/>
    <w:rsid w:val="005A5E0A"/>
    <w:rsid w:val="006603DD"/>
    <w:rsid w:val="006C25D5"/>
    <w:rsid w:val="006F14DB"/>
    <w:rsid w:val="0070776E"/>
    <w:rsid w:val="00727A3E"/>
    <w:rsid w:val="007833FD"/>
    <w:rsid w:val="007E0CB8"/>
    <w:rsid w:val="00854463"/>
    <w:rsid w:val="0087721E"/>
    <w:rsid w:val="008871D5"/>
    <w:rsid w:val="008966DD"/>
    <w:rsid w:val="00936A0F"/>
    <w:rsid w:val="009955D0"/>
    <w:rsid w:val="00A1299E"/>
    <w:rsid w:val="00AC1E7D"/>
    <w:rsid w:val="00B04005"/>
    <w:rsid w:val="00B0654C"/>
    <w:rsid w:val="00B13BDA"/>
    <w:rsid w:val="00B34AB5"/>
    <w:rsid w:val="00B90484"/>
    <w:rsid w:val="00BA2510"/>
    <w:rsid w:val="00CC6E6F"/>
    <w:rsid w:val="00CD61B8"/>
    <w:rsid w:val="00D35059"/>
    <w:rsid w:val="00D37D02"/>
    <w:rsid w:val="00DA44D1"/>
    <w:rsid w:val="00E5619D"/>
    <w:rsid w:val="00E568CB"/>
    <w:rsid w:val="00E7014C"/>
    <w:rsid w:val="00E87918"/>
    <w:rsid w:val="00ED78F0"/>
    <w:rsid w:val="00F139DD"/>
    <w:rsid w:val="00F3180D"/>
    <w:rsid w:val="00F43DA9"/>
    <w:rsid w:val="00F65AD5"/>
    <w:rsid w:val="00F73E5F"/>
    <w:rsid w:val="00F944C8"/>
    <w:rsid w:val="00F958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C05F1"/>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3E"/>
    <w:pPr>
      <w:spacing w:after="0" w:line="240" w:lineRule="auto"/>
    </w:pPr>
    <w:rPr>
      <w:rFonts w:ascii="Calibri" w:hAnsi="Calibri" w:cs="Times New Roman"/>
      <w:noProo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pPr>
    <w:rPr>
      <w:rFonts w:asciiTheme="minorHAnsi" w:hAnsiTheme="minorHAnsi" w:cstheme="minorBidi"/>
      <w:noProof w:val="0"/>
      <w:szCs w:val="22"/>
    </w:r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pPr>
    <w:rPr>
      <w:rFonts w:asciiTheme="minorHAnsi" w:hAnsiTheme="minorHAnsi" w:cstheme="minorBidi"/>
      <w:noProof w:val="0"/>
      <w:szCs w:val="22"/>
    </w:r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 w:type="paragraph" w:styleId="Textodeglobo">
    <w:name w:val="Balloon Text"/>
    <w:basedOn w:val="Normal"/>
    <w:link w:val="TextodegloboCar"/>
    <w:uiPriority w:val="99"/>
    <w:semiHidden/>
    <w:unhideWhenUsed/>
    <w:rsid w:val="00936A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6A0F"/>
    <w:rPr>
      <w:rFonts w:ascii="Segoe UI" w:hAnsi="Segoe UI" w:cs="Segoe UI"/>
      <w:noProof/>
      <w:sz w:val="18"/>
      <w:szCs w:val="18"/>
    </w:rPr>
  </w:style>
  <w:style w:type="character" w:styleId="Refdecomentario">
    <w:name w:val="annotation reference"/>
    <w:basedOn w:val="Fuentedeprrafopredeter"/>
    <w:uiPriority w:val="99"/>
    <w:semiHidden/>
    <w:unhideWhenUsed/>
    <w:rsid w:val="00DA44D1"/>
    <w:rPr>
      <w:sz w:val="16"/>
      <w:szCs w:val="16"/>
    </w:rPr>
  </w:style>
  <w:style w:type="paragraph" w:styleId="Textocomentario">
    <w:name w:val="annotation text"/>
    <w:basedOn w:val="Normal"/>
    <w:link w:val="TextocomentarioCar"/>
    <w:uiPriority w:val="99"/>
    <w:semiHidden/>
    <w:unhideWhenUsed/>
    <w:rsid w:val="00DA44D1"/>
    <w:rPr>
      <w:sz w:val="20"/>
      <w:szCs w:val="20"/>
    </w:rPr>
  </w:style>
  <w:style w:type="character" w:customStyle="1" w:styleId="TextocomentarioCar">
    <w:name w:val="Texto comentario Car"/>
    <w:basedOn w:val="Fuentedeprrafopredeter"/>
    <w:link w:val="Textocomentario"/>
    <w:uiPriority w:val="99"/>
    <w:semiHidden/>
    <w:rsid w:val="00DA44D1"/>
    <w:rPr>
      <w:rFonts w:ascii="Calibri" w:hAnsi="Calibri" w:cs="Times New Roman"/>
      <w:noProof/>
      <w:sz w:val="20"/>
      <w:szCs w:val="20"/>
    </w:rPr>
  </w:style>
  <w:style w:type="paragraph" w:styleId="Asuntodelcomentario">
    <w:name w:val="annotation subject"/>
    <w:basedOn w:val="Textocomentario"/>
    <w:next w:val="Textocomentario"/>
    <w:link w:val="AsuntodelcomentarioCar"/>
    <w:uiPriority w:val="99"/>
    <w:semiHidden/>
    <w:unhideWhenUsed/>
    <w:rsid w:val="00DA44D1"/>
    <w:rPr>
      <w:b/>
      <w:bCs/>
    </w:rPr>
  </w:style>
  <w:style w:type="character" w:customStyle="1" w:styleId="AsuntodelcomentarioCar">
    <w:name w:val="Asunto del comentario Car"/>
    <w:basedOn w:val="TextocomentarioCar"/>
    <w:link w:val="Asuntodelcomentario"/>
    <w:uiPriority w:val="99"/>
    <w:semiHidden/>
    <w:rsid w:val="00DA44D1"/>
    <w:rPr>
      <w:rFonts w:ascii="Calibri" w:hAnsi="Calibri"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agro.com.ar/expoagrodigital/" TargetMode="External"/><Relationship Id="rId3" Type="http://schemas.openxmlformats.org/officeDocument/2006/relationships/webSettings" Target="webSettings.xml"/><Relationship Id="rId7" Type="http://schemas.openxmlformats.org/officeDocument/2006/relationships/hyperlink" Target="https://en.wikipedia.org/wiki/Science_par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cience_par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5</cp:revision>
  <dcterms:created xsi:type="dcterms:W3CDTF">2020-08-27T13:41:00Z</dcterms:created>
  <dcterms:modified xsi:type="dcterms:W3CDTF">2020-09-03T19:50:00Z</dcterms:modified>
</cp:coreProperties>
</file>