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23FA7" w14:textId="77777777" w:rsidR="00B04AA3" w:rsidRDefault="00214EE1">
      <w:pPr>
        <w:jc w:val="center"/>
        <w:rPr>
          <w:b/>
          <w:sz w:val="28"/>
          <w:szCs w:val="28"/>
        </w:rPr>
      </w:pPr>
      <w:bookmarkStart w:id="0" w:name="_GoBack"/>
      <w:r>
        <w:rPr>
          <w:b/>
          <w:sz w:val="28"/>
          <w:szCs w:val="28"/>
        </w:rPr>
        <w:t>Una tendencia a nivel mundial: bonos sustentables y verdes</w:t>
      </w:r>
    </w:p>
    <w:bookmarkEnd w:id="0"/>
    <w:p w14:paraId="00E23FA8" w14:textId="77777777" w:rsidR="00B04AA3" w:rsidRPr="00214EE1" w:rsidRDefault="00214EE1" w:rsidP="00214EE1">
      <w:pPr>
        <w:spacing w:line="276" w:lineRule="auto"/>
        <w:jc w:val="both"/>
        <w:rPr>
          <w:i/>
          <w:sz w:val="24"/>
          <w:szCs w:val="24"/>
        </w:rPr>
      </w:pPr>
      <w:r w:rsidRPr="00214EE1">
        <w:rPr>
          <w:i/>
          <w:sz w:val="24"/>
          <w:szCs w:val="24"/>
        </w:rPr>
        <w:t>En línea con su compromiso con la sustentabilidad, Surcos presentará en Expoagro 2023 un caso de éxito ligado a su política de cuidado del medio ambiente, al lograr nuevas formas de financiamiento en el mercado de capitales.</w:t>
      </w:r>
    </w:p>
    <w:p w14:paraId="00E23FA9" w14:textId="77777777" w:rsidR="00B04AA3" w:rsidRPr="00214EE1" w:rsidRDefault="00214EE1" w:rsidP="00214EE1">
      <w:pPr>
        <w:spacing w:line="276" w:lineRule="auto"/>
        <w:jc w:val="both"/>
        <w:rPr>
          <w:sz w:val="24"/>
          <w:szCs w:val="24"/>
        </w:rPr>
      </w:pPr>
      <w:r w:rsidRPr="00214EE1">
        <w:rPr>
          <w:sz w:val="24"/>
          <w:szCs w:val="24"/>
        </w:rPr>
        <w:t xml:space="preserve">En la próxima edición de la </w:t>
      </w:r>
      <w:r w:rsidRPr="00214EE1">
        <w:rPr>
          <w:b/>
          <w:sz w:val="24"/>
          <w:szCs w:val="24"/>
        </w:rPr>
        <w:t>Cap</w:t>
      </w:r>
      <w:r w:rsidRPr="00214EE1">
        <w:rPr>
          <w:b/>
          <w:sz w:val="24"/>
          <w:szCs w:val="24"/>
        </w:rPr>
        <w:t>ital Nacional de los Agronegocios</w:t>
      </w:r>
      <w:r w:rsidRPr="00214EE1">
        <w:rPr>
          <w:sz w:val="24"/>
          <w:szCs w:val="24"/>
        </w:rPr>
        <w:t xml:space="preserve">, </w:t>
      </w:r>
      <w:r w:rsidRPr="00214EE1">
        <w:rPr>
          <w:b/>
          <w:sz w:val="24"/>
          <w:szCs w:val="24"/>
        </w:rPr>
        <w:t>del 7 al 10 de marzo en el predio ferial y autódromo de San Nicolás</w:t>
      </w:r>
      <w:r w:rsidRPr="00214EE1">
        <w:rPr>
          <w:sz w:val="24"/>
          <w:szCs w:val="24"/>
        </w:rPr>
        <w:t xml:space="preserve">, los asistentes podrán informarse de las últimas novedades vinculadas al agro. </w:t>
      </w:r>
    </w:p>
    <w:p w14:paraId="00E23FAA" w14:textId="77777777" w:rsidR="00B04AA3" w:rsidRPr="00214EE1" w:rsidRDefault="00214EE1" w:rsidP="00214EE1">
      <w:pPr>
        <w:spacing w:line="276" w:lineRule="auto"/>
        <w:jc w:val="both"/>
        <w:rPr>
          <w:b/>
          <w:sz w:val="24"/>
          <w:szCs w:val="24"/>
        </w:rPr>
      </w:pPr>
      <w:r w:rsidRPr="00214EE1">
        <w:rPr>
          <w:sz w:val="24"/>
          <w:szCs w:val="24"/>
        </w:rPr>
        <w:t xml:space="preserve">Entre ellas, el jueves 9 de marzo, la empresa </w:t>
      </w:r>
      <w:r w:rsidRPr="00214EE1">
        <w:rPr>
          <w:b/>
          <w:sz w:val="24"/>
          <w:szCs w:val="24"/>
        </w:rPr>
        <w:t>Surcos</w:t>
      </w:r>
      <w:r w:rsidRPr="00214EE1">
        <w:rPr>
          <w:sz w:val="24"/>
          <w:szCs w:val="24"/>
        </w:rPr>
        <w:t xml:space="preserve"> brindará una charla </w:t>
      </w:r>
      <w:r w:rsidRPr="00214EE1">
        <w:rPr>
          <w:sz w:val="24"/>
          <w:szCs w:val="24"/>
        </w:rPr>
        <w:t>sobre las nuevas posibilidades de financiamiento ligadas a la sustentabilidad que tienen las empresas del agro</w:t>
      </w:r>
      <w:r w:rsidRPr="00214EE1">
        <w:rPr>
          <w:b/>
          <w:sz w:val="24"/>
          <w:szCs w:val="24"/>
        </w:rPr>
        <w:t>. El encuentro se realizará en el Auditorio de la sala de Prensa a las 15 hs, con un panel compuesto por: Juan Martín Autilio, director de Financi</w:t>
      </w:r>
      <w:r w:rsidRPr="00214EE1">
        <w:rPr>
          <w:b/>
          <w:sz w:val="24"/>
          <w:szCs w:val="24"/>
        </w:rPr>
        <w:t>amiento Corporativo; Clara de Hertelendy, directora de innovación y propiedad intelectual; Ignacio Lorenzo, Head IB y Operaciones Verdes del Banco Santander; Gustavo Ávila, de Financiamiento Sostenible de la calificadora FixScr; y Maria Eugenia Bellazzi, s</w:t>
      </w:r>
      <w:r w:rsidRPr="00214EE1">
        <w:rPr>
          <w:b/>
          <w:sz w:val="24"/>
          <w:szCs w:val="24"/>
        </w:rPr>
        <w:t xml:space="preserve">ocia de la Consultora Sustenia. </w:t>
      </w:r>
    </w:p>
    <w:p w14:paraId="00E23FAB" w14:textId="3676C021" w:rsidR="00B04AA3" w:rsidRPr="00214EE1" w:rsidRDefault="00214EE1" w:rsidP="00214EE1">
      <w:pPr>
        <w:spacing w:line="276" w:lineRule="auto"/>
        <w:jc w:val="both"/>
        <w:rPr>
          <w:sz w:val="24"/>
          <w:szCs w:val="24"/>
        </w:rPr>
      </w:pPr>
      <w:r w:rsidRPr="00214EE1">
        <w:rPr>
          <w:sz w:val="24"/>
          <w:szCs w:val="24"/>
        </w:rPr>
        <w:t xml:space="preserve">Según informaron desde </w:t>
      </w:r>
      <w:r w:rsidRPr="00214EE1">
        <w:rPr>
          <w:b/>
          <w:sz w:val="24"/>
          <w:szCs w:val="24"/>
        </w:rPr>
        <w:t>la empresa</w:t>
      </w:r>
      <w:r w:rsidRPr="00214EE1">
        <w:rPr>
          <w:sz w:val="24"/>
          <w:szCs w:val="24"/>
        </w:rPr>
        <w:t xml:space="preserve">, en septiembre del año pasado, </w:t>
      </w:r>
      <w:r w:rsidRPr="00214EE1">
        <w:rPr>
          <w:b/>
          <w:sz w:val="24"/>
          <w:szCs w:val="24"/>
        </w:rPr>
        <w:t>el mercado de capitales volvió a respaldar el compromiso de Surcos con la sustentabilidad y el medio ambiente al financiar la segunda emisión de Obligaciones Nego</w:t>
      </w:r>
      <w:r w:rsidRPr="00214EE1">
        <w:rPr>
          <w:b/>
          <w:sz w:val="24"/>
          <w:szCs w:val="24"/>
        </w:rPr>
        <w:t>ciables vinculadas a la sostenibilidad, por 15 millones de dólares, a un plazo de 36 meses y una tasa de 1,39% nominal anual</w:t>
      </w:r>
      <w:r w:rsidRPr="00214EE1">
        <w:rPr>
          <w:sz w:val="24"/>
          <w:szCs w:val="24"/>
        </w:rPr>
        <w:t xml:space="preserve">. En la licitación se recibieron 52 órdenes de inversores por un monto superior de 23,4 millones de dólares. </w:t>
      </w:r>
    </w:p>
    <w:p w14:paraId="00E23FAC" w14:textId="77777777" w:rsidR="00B04AA3" w:rsidRPr="00214EE1" w:rsidRDefault="00214EE1" w:rsidP="00214EE1">
      <w:pPr>
        <w:spacing w:line="276" w:lineRule="auto"/>
        <w:jc w:val="both"/>
        <w:rPr>
          <w:sz w:val="24"/>
          <w:szCs w:val="24"/>
        </w:rPr>
      </w:pPr>
      <w:r w:rsidRPr="00214EE1">
        <w:rPr>
          <w:sz w:val="24"/>
          <w:szCs w:val="24"/>
        </w:rPr>
        <w:t>“</w:t>
      </w:r>
      <w:r w:rsidRPr="00214EE1">
        <w:rPr>
          <w:b/>
          <w:sz w:val="24"/>
          <w:szCs w:val="24"/>
        </w:rPr>
        <w:t xml:space="preserve">Surcos es la primera </w:t>
      </w:r>
      <w:r w:rsidRPr="00214EE1">
        <w:rPr>
          <w:b/>
          <w:sz w:val="24"/>
          <w:szCs w:val="24"/>
        </w:rPr>
        <w:t>empresa de la industria argentina de los fitosanitarios en incorporarse al panel de sostenibilidad de BYMA, al estar alineada a los Principios de los Bonos Vinculados a la Sostenibilidad del ICMA (International Capital Market Association)</w:t>
      </w:r>
      <w:r w:rsidRPr="00214EE1">
        <w:rPr>
          <w:sz w:val="24"/>
          <w:szCs w:val="24"/>
        </w:rPr>
        <w:t>”, dijeron, y agre</w:t>
      </w:r>
      <w:r w:rsidRPr="00214EE1">
        <w:rPr>
          <w:sz w:val="24"/>
          <w:szCs w:val="24"/>
        </w:rPr>
        <w:t>garon: “La implementación pionera de Surcos de estos bonos vinculados a la sostenibilidad muestra un camino para empresas que cuenten con elementos de sostenibilidad transparente, predeterminados, regularmente monitoreados y verificados externamente”.</w:t>
      </w:r>
    </w:p>
    <w:p w14:paraId="00E23FAD" w14:textId="77777777" w:rsidR="00B04AA3" w:rsidRPr="00214EE1" w:rsidRDefault="00214EE1" w:rsidP="00214EE1">
      <w:pPr>
        <w:spacing w:line="276" w:lineRule="auto"/>
        <w:jc w:val="both"/>
        <w:rPr>
          <w:sz w:val="24"/>
          <w:szCs w:val="24"/>
        </w:rPr>
      </w:pPr>
      <w:r w:rsidRPr="00214EE1">
        <w:rPr>
          <w:sz w:val="24"/>
          <w:szCs w:val="24"/>
        </w:rPr>
        <w:t xml:space="preserve">Los </w:t>
      </w:r>
      <w:r w:rsidRPr="00214EE1">
        <w:rPr>
          <w:sz w:val="24"/>
          <w:szCs w:val="24"/>
        </w:rPr>
        <w:t xml:space="preserve">panelistas convocados para la charla que se llevará a cabo en el marco de Expoagro </w:t>
      </w:r>
      <w:r w:rsidRPr="00214EE1">
        <w:rPr>
          <w:b/>
          <w:sz w:val="24"/>
          <w:szCs w:val="24"/>
        </w:rPr>
        <w:t>analizarán las características financieras y la tendencia a nivel mundial que están teniendo los bonos sustentables y verdes.</w:t>
      </w:r>
      <w:r w:rsidRPr="00214EE1">
        <w:rPr>
          <w:sz w:val="24"/>
          <w:szCs w:val="24"/>
        </w:rPr>
        <w:t xml:space="preserve"> “Para las empresas significa un desafío ya que </w:t>
      </w:r>
      <w:r w:rsidRPr="00214EE1">
        <w:rPr>
          <w:sz w:val="24"/>
          <w:szCs w:val="24"/>
        </w:rPr>
        <w:t>toman un compromiso explícito de futuras mejoras en su desempeño en sostenibilidad. En el caso de Surcos, al emitir estos bonos se estableció un crecimiento en el volumen de ventas de los herbicidas formulados con nanotecnología que utilizan en promedio ha</w:t>
      </w:r>
      <w:r w:rsidRPr="00214EE1">
        <w:rPr>
          <w:sz w:val="24"/>
          <w:szCs w:val="24"/>
        </w:rPr>
        <w:t>sta un 50% menos de principio activo que las formulaciones tradicionales, manteniendo el nivel de eficacia con una menor dosis y por lo tanto reduciendo el impacto ambiental”, sostuvieron desde la empresa.</w:t>
      </w:r>
    </w:p>
    <w:sectPr w:rsidR="00B04AA3" w:rsidRPr="00214EE1">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23FB4" w14:textId="77777777" w:rsidR="00000000" w:rsidRDefault="00214EE1">
      <w:pPr>
        <w:spacing w:after="0" w:line="240" w:lineRule="auto"/>
      </w:pPr>
      <w:r>
        <w:separator/>
      </w:r>
    </w:p>
  </w:endnote>
  <w:endnote w:type="continuationSeparator" w:id="0">
    <w:p w14:paraId="00E23FB6" w14:textId="77777777" w:rsidR="00000000" w:rsidRDefault="0021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3FAF" w14:textId="77777777" w:rsidR="00B04AA3" w:rsidRDefault="00214EE1">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0E23FB2" wp14:editId="00E23FB3">
          <wp:extent cx="7649627" cy="643257"/>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23FB0" w14:textId="77777777" w:rsidR="00000000" w:rsidRDefault="00214EE1">
      <w:pPr>
        <w:spacing w:after="0" w:line="240" w:lineRule="auto"/>
      </w:pPr>
      <w:r>
        <w:separator/>
      </w:r>
    </w:p>
  </w:footnote>
  <w:footnote w:type="continuationSeparator" w:id="0">
    <w:p w14:paraId="00E23FB2" w14:textId="77777777" w:rsidR="00000000" w:rsidRDefault="00214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3FAE" w14:textId="77777777" w:rsidR="00B04AA3" w:rsidRDefault="00214EE1">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0E23FB0" wp14:editId="00E23FB1">
          <wp:extent cx="7646433" cy="1238916"/>
          <wp:effectExtent l="0" t="0" r="0" b="0"/>
          <wp:docPr id="5" name="image1.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1.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A3"/>
    <w:rsid w:val="00214EE1"/>
    <w:rsid w:val="00B04AA3"/>
    <w:rsid w:val="00D433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3FA7"/>
  <w15:docId w15:val="{87451686-AA57-4B59-8BAE-64BED981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2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smXNMLpJ3Fn7BrSpHX2Ol1/vqw==">AMUW2mVUuIF+/nRCZ9rFbXuj4dYTyJc0rXCVeiQxhnNWUAXEbNVvynhnplBenW5jivBSNXzr7fNlYCpRPPAhnnnElK0ofFzqEH3R6fqDsjy5CdY2i3lH/Ig=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CD2F90-E9F7-4B15-AB66-7A8622941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DA6FB-214C-43FC-B73A-BAE2C6202809}">
  <ds:schemaRefs>
    <ds:schemaRef ds:uri="http://schemas.microsoft.com/sharepoint/v3/contenttype/forms"/>
  </ds:schemaRefs>
</ds:datastoreItem>
</file>

<file path=customXml/itemProps4.xml><?xml version="1.0" encoding="utf-8"?>
<ds:datastoreItem xmlns:ds="http://schemas.openxmlformats.org/officeDocument/2006/customXml" ds:itemID="{994608D3-6B0E-4C9C-9D37-8585903C83B7}">
  <ds:schemaRef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8ea0c7a9-7812-4ab2-837e-97a9ce7f45bd"/>
    <ds:schemaRef ds:uri="http://schemas.microsoft.com/office/infopath/2007/PartnerControls"/>
    <ds:schemaRef ds:uri="d24e3aec-322b-40d6-846f-3ce85be438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Quatrini</cp:lastModifiedBy>
  <cp:revision>2</cp:revision>
  <dcterms:created xsi:type="dcterms:W3CDTF">2023-02-24T18:19:00Z</dcterms:created>
  <dcterms:modified xsi:type="dcterms:W3CDTF">2023-02-24T18:19:00Z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