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39153" w14:textId="77777777" w:rsidR="00F71806" w:rsidRDefault="00F71806">
      <w:pPr>
        <w:spacing w:line="276" w:lineRule="auto"/>
        <w:jc w:val="center"/>
        <w:rPr>
          <w:b/>
          <w:bCs/>
        </w:rPr>
      </w:pPr>
    </w:p>
    <w:p w14:paraId="580ACB88" w14:textId="77777777" w:rsidR="00F71806" w:rsidRDefault="00D36CA1">
      <w:pPr>
        <w:spacing w:line="276" w:lineRule="auto"/>
        <w:jc w:val="center"/>
        <w:rPr>
          <w:b/>
          <w:bCs/>
        </w:rPr>
      </w:pPr>
      <w:r>
        <w:rPr>
          <w:b/>
          <w:bCs/>
        </w:rPr>
        <w:t>Visa continúa potenciando Visa Agro con beneficios en el mundo digital</w:t>
      </w:r>
    </w:p>
    <w:p w14:paraId="312F0AF5" w14:textId="77777777" w:rsidR="00F71806" w:rsidRDefault="00D36CA1">
      <w:pPr>
        <w:spacing w:line="276" w:lineRule="auto"/>
        <w:jc w:val="center"/>
        <w:rPr>
          <w:i/>
          <w:iCs/>
        </w:rPr>
      </w:pPr>
      <w:r>
        <w:rPr>
          <w:i/>
          <w:iCs/>
        </w:rPr>
        <w:t>Pagos electrónicos y una estrategia enfocada en la digitalización marcan la propuesta de la compañía en la edición aniversario de la megamuestra.</w:t>
      </w:r>
    </w:p>
    <w:p w14:paraId="74C42EB8" w14:textId="77777777" w:rsidR="00F71806" w:rsidRDefault="00D36CA1">
      <w:pPr>
        <w:spacing w:before="240" w:after="240" w:line="276" w:lineRule="auto"/>
        <w:jc w:val="both"/>
      </w:pPr>
      <w:r>
        <w:t>La multinacional de servicios financieros renueva su estrategia y compromiso con el sector agropecuario y gana</w:t>
      </w:r>
      <w:r>
        <w:t xml:space="preserve">dero a través de </w:t>
      </w:r>
      <w:r>
        <w:rPr>
          <w:b/>
          <w:bCs/>
        </w:rPr>
        <w:t>Visa Agro</w:t>
      </w:r>
      <w:r>
        <w:t xml:space="preserve">, la credencial emitida por los principales bancos y </w:t>
      </w:r>
      <w:proofErr w:type="spellStart"/>
      <w:r>
        <w:t>fintech</w:t>
      </w:r>
      <w:proofErr w:type="spellEnd"/>
      <w:r>
        <w:t xml:space="preserve"> vinculados a la actividad. La propuesta apunta a seguir potenciando la economía digital y a facilitar las transacciones electrónicas dentro de la industria.</w:t>
      </w:r>
    </w:p>
    <w:p w14:paraId="25414141" w14:textId="77777777" w:rsidR="00F71806" w:rsidRDefault="00D36CA1">
      <w:pPr>
        <w:spacing w:before="240" w:after="240" w:line="276" w:lineRule="auto"/>
        <w:jc w:val="both"/>
      </w:pPr>
      <w:r>
        <w:t xml:space="preserve">En el marco </w:t>
      </w:r>
      <w:r>
        <w:t xml:space="preserve">de </w:t>
      </w:r>
      <w:r>
        <w:rPr>
          <w:b/>
          <w:bCs/>
        </w:rPr>
        <w:t>Expoagro 2026 edición YPF Agro</w:t>
      </w:r>
      <w:r>
        <w:t xml:space="preserve">, que se llevará a cabo del 10 al 13 de marzo en el </w:t>
      </w:r>
      <w:r>
        <w:rPr>
          <w:b/>
          <w:bCs/>
        </w:rPr>
        <w:t>predio ferial y autódromo de San Nicolás</w:t>
      </w:r>
      <w:r>
        <w:t>, Visa Agro promoverá la adopción de pagos digitales mediante distintos beneficios orientados a la compra y venta de maquinaria, in</w:t>
      </w:r>
      <w:r>
        <w:t>sumos, genética y otros bienes y servicios. Como siempre, con el respaldo de la seguridad, conveniencia e inmediatez de las transacciones Visa, tanto presenciales como online.</w:t>
      </w:r>
    </w:p>
    <w:p w14:paraId="5371308E" w14:textId="77777777" w:rsidR="00F71806" w:rsidRDefault="00D36CA1">
      <w:pPr>
        <w:spacing w:before="240" w:after="240" w:line="276" w:lineRule="auto"/>
        <w:jc w:val="both"/>
      </w:pPr>
      <w:r>
        <w:t>En línea con esta estrategia, la firma avanzó junto a uno de sus bancos emisores</w:t>
      </w:r>
      <w:r>
        <w:t xml:space="preserve"> en el desarrollo de un producto a medida para bodegas y viñedos, incorporando una nueva línea dentro de Visa Agro destinada a la actividad agropecuaria. Además, la propuesta se extendió a Uruguay, con el lanzamiento junto al Banco de la República Oriental</w:t>
      </w:r>
      <w:r>
        <w:t xml:space="preserve"> del Uruguay (BROU), consolidando la expansión regional.</w:t>
      </w:r>
    </w:p>
    <w:p w14:paraId="38609E8A" w14:textId="77777777" w:rsidR="00F71806" w:rsidRDefault="00D36CA1">
      <w:pPr>
        <w:spacing w:before="240" w:after="240" w:line="276" w:lineRule="auto"/>
        <w:jc w:val="both"/>
      </w:pPr>
      <w:r>
        <w:rPr>
          <w:i/>
          <w:iCs/>
        </w:rPr>
        <w:t>“Estamos convencidos de que el sector agroganadero necesita cada vez más herramientas digitales innovadoras que aporten seguridad y agilidad a la gestión de cobros y pagos. Por eso seguimos renovando</w:t>
      </w:r>
      <w:r>
        <w:rPr>
          <w:i/>
          <w:iCs/>
        </w:rPr>
        <w:t xml:space="preserve"> nuestro compromiso con la actividad y fortaleciendo el alcance de Visa Agro, que </w:t>
      </w:r>
      <w:r>
        <w:rPr>
          <w:b/>
          <w:bCs/>
          <w:i/>
          <w:iCs/>
        </w:rPr>
        <w:t>ya traspasa fronteras</w:t>
      </w:r>
      <w:r>
        <w:t xml:space="preserve">”, señaló Gabriel Grasso, director de Visa </w:t>
      </w:r>
      <w:proofErr w:type="spellStart"/>
      <w:r>
        <w:t>Commercial</w:t>
      </w:r>
      <w:proofErr w:type="spellEnd"/>
      <w:r>
        <w:t xml:space="preserve"> </w:t>
      </w:r>
      <w:proofErr w:type="spellStart"/>
      <w:r>
        <w:t>Solutions</w:t>
      </w:r>
      <w:proofErr w:type="spellEnd"/>
      <w:r>
        <w:t xml:space="preserve"> para Argentina y Cono Sur. </w:t>
      </w:r>
    </w:p>
    <w:p w14:paraId="6DAEDDA3" w14:textId="77777777" w:rsidR="00F71806" w:rsidRDefault="00D36CA1">
      <w:pPr>
        <w:spacing w:before="240" w:after="240" w:line="276" w:lineRule="auto"/>
        <w:jc w:val="both"/>
      </w:pPr>
      <w:r>
        <w:t>En ese sentido, además del reciente anuncio en el país orient</w:t>
      </w:r>
      <w:r>
        <w:t xml:space="preserve">al, también destacó la incorporación de nuevos emisores para operar localmente en Paraguay, Bolivia, Ecuador y Brasil, y subrayó que </w:t>
      </w:r>
      <w:r>
        <w:rPr>
          <w:i/>
          <w:iCs/>
        </w:rPr>
        <w:t>“es un orgullo que un producto originado en Argentina hoy se potencie en toda la región”</w:t>
      </w:r>
      <w:r>
        <w:t>.</w:t>
      </w:r>
    </w:p>
    <w:p w14:paraId="68799752" w14:textId="77777777" w:rsidR="00F71806" w:rsidRDefault="00D36CA1">
      <w:pPr>
        <w:spacing w:before="240" w:after="240" w:line="276" w:lineRule="auto"/>
        <w:jc w:val="both"/>
      </w:pPr>
      <w:r>
        <w:t>Durante la muestra, Visa acompaña</w:t>
      </w:r>
      <w:r>
        <w:t xml:space="preserve">rá a emisores y usuarios con </w:t>
      </w:r>
      <w:r>
        <w:rPr>
          <w:b/>
          <w:bCs/>
        </w:rPr>
        <w:t>un espacio exclusivo de 2.000 metros cuadrados</w:t>
      </w:r>
      <w:r>
        <w:t xml:space="preserve">, ubicado dentro del estacionamiento general, cercano al pórtico “A” y destinado </w:t>
      </w:r>
      <w:r>
        <w:rPr>
          <w:b/>
          <w:bCs/>
        </w:rPr>
        <w:t>sin costo</w:t>
      </w:r>
      <w:r>
        <w:t xml:space="preserve"> a los usuarios de credenciales Visa Agro. A este beneficio se suman descuentos del </w:t>
      </w:r>
      <w:r>
        <w:rPr>
          <w:b/>
          <w:bCs/>
        </w:rPr>
        <w:t>20% con</w:t>
      </w:r>
      <w:r>
        <w:rPr>
          <w:b/>
          <w:bCs/>
        </w:rPr>
        <w:t xml:space="preserve"> Visa Agro y del 10% con Visa Empresariales</w:t>
      </w:r>
      <w:r>
        <w:t xml:space="preserve"> en la compra de entradas, además de promociones especiales junto a </w:t>
      </w:r>
      <w:proofErr w:type="spellStart"/>
      <w:r>
        <w:t>fintech</w:t>
      </w:r>
      <w:proofErr w:type="spellEnd"/>
      <w:r>
        <w:t xml:space="preserve"> </w:t>
      </w:r>
      <w:proofErr w:type="spellStart"/>
      <w:r>
        <w:t>partners</w:t>
      </w:r>
      <w:proofErr w:type="spellEnd"/>
      <w:r>
        <w:t>.</w:t>
      </w:r>
    </w:p>
    <w:p w14:paraId="1BAF0E37" w14:textId="77777777" w:rsidR="00F71806" w:rsidRDefault="00F71806">
      <w:pPr>
        <w:spacing w:line="276" w:lineRule="auto"/>
        <w:jc w:val="both"/>
      </w:pPr>
    </w:p>
    <w:sectPr w:rsidR="00F71806">
      <w:headerReference w:type="default" r:id="rId7"/>
      <w:footerReference w:type="default" r:id="rId8"/>
      <w:pgSz w:w="11907" w:h="16839"/>
      <w:pgMar w:top="1417" w:right="1701" w:bottom="1417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0D726" w14:textId="77777777" w:rsidR="00D36CA1" w:rsidRDefault="00D36CA1">
      <w:pPr>
        <w:spacing w:after="0" w:line="240" w:lineRule="auto"/>
      </w:pPr>
      <w:r>
        <w:separator/>
      </w:r>
    </w:p>
  </w:endnote>
  <w:endnote w:type="continuationSeparator" w:id="0">
    <w:p w14:paraId="7356E0DA" w14:textId="77777777" w:rsidR="00D36CA1" w:rsidRDefault="00D36C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072DD12-8800-42FC-90DB-9AF12474147A}"/>
    <w:embedBold r:id="rId2" w:fontKey="{A62AA15B-CC3F-42CA-BAC9-AF7F732C66DD}"/>
    <w:embedItalic r:id="rId3" w:fontKey="{21CE4893-33F8-4B7F-9D24-147407F67086}"/>
    <w:embedBoldItalic r:id="rId4" w:fontKey="{E69BE3B5-C3FC-4BB6-93FE-A106C16730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66516C2-FCE5-4EA5-A2F5-C2B139E590C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ED10B554-A0A5-4E59-A675-15F7F90072A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4EAE35DC-6BE0-40E8-8351-411B383369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B995B0" w14:textId="77777777" w:rsidR="00F71806" w:rsidRDefault="00D36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0D399856" wp14:editId="7595D7C8">
          <wp:extent cx="7649606" cy="347125"/>
          <wp:effectExtent l="0" t="0" r="0" b="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9606" cy="347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CD6F8" w14:textId="77777777" w:rsidR="00D36CA1" w:rsidRDefault="00D36CA1">
      <w:pPr>
        <w:spacing w:after="0" w:line="240" w:lineRule="auto"/>
      </w:pPr>
      <w:r>
        <w:separator/>
      </w:r>
    </w:p>
  </w:footnote>
  <w:footnote w:type="continuationSeparator" w:id="0">
    <w:p w14:paraId="541357CF" w14:textId="77777777" w:rsidR="00D36CA1" w:rsidRDefault="00D36C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1642C" w14:textId="77777777" w:rsidR="00F71806" w:rsidRDefault="00D36CA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3D88C9C6" wp14:editId="43B18B4B">
          <wp:extent cx="7647535" cy="1171592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7535" cy="11715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806"/>
    <w:rsid w:val="00D36CA1"/>
    <w:rsid w:val="00F27E41"/>
    <w:rsid w:val="00F71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1C030"/>
  <w15:docId w15:val="{99DB62C5-D212-4038-9828-05E215C73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A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E7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28E0"/>
  </w:style>
  <w:style w:type="paragraph" w:styleId="Piedepgina">
    <w:name w:val="footer"/>
    <w:basedOn w:val="Normal"/>
    <w:link w:val="PiedepginaCar"/>
    <w:uiPriority w:val="99"/>
    <w:unhideWhenUsed/>
    <w:rsid w:val="00E7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28E0"/>
  </w:style>
  <w:style w:type="paragraph" w:styleId="Textodeglobo">
    <w:name w:val="Balloon Text"/>
    <w:basedOn w:val="Normal"/>
    <w:link w:val="TextodegloboCar"/>
    <w:uiPriority w:val="99"/>
    <w:semiHidden/>
    <w:unhideWhenUsed/>
    <w:rsid w:val="008D7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7D6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94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Textoennegrita">
    <w:name w:val="Strong"/>
    <w:basedOn w:val="Fuentedeprrafopredeter"/>
    <w:uiPriority w:val="22"/>
    <w:qFormat/>
    <w:rsid w:val="0059438F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6866gYtEUKAklePcfKOjZVMQ2A==">CgMxLjA4AHIhMWFVU2RfUTFabDZva0NsS0U5Q2lYbnVBbzN2TWtsd1RN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374</Words>
  <Characters>2132</Characters>
  <Application>Microsoft Office Word</Application>
  <DocSecurity>0</DocSecurity>
  <Lines>17</Lines>
  <Paragraphs>5</Paragraphs>
  <ScaleCrop>false</ScaleCrop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ANYI</dc:creator>
  <cp:lastModifiedBy>Brenda Quattrini</cp:lastModifiedBy>
  <cp:revision>2</cp:revision>
  <dcterms:created xsi:type="dcterms:W3CDTF">2026-01-30T19:17:00Z</dcterms:created>
  <dcterms:modified xsi:type="dcterms:W3CDTF">2026-01-30T19:17:00Z</dcterms:modified>
</cp:coreProperties>
</file>